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AARP/417/2018 vom 20. Dezember 2018</w:t>
      </w:r>
    </w:p>
    <w:p>
      <w:r>
        <w:t>GE Cour de justice, 2018-12-20, FR</w:t>
      </w:r>
    </w:p>
    <w:p>
      <w:r>
        <w:rPr>
          <w:b/>
        </w:rPr>
        <w:t xml:space="preserve">Quelle: </w:t>
      </w:r>
      <w:r>
        <w:t>https://mcp.opencaselaw.ch/entscheid/ge_gerichte_AARP_417_2018</w:t>
      </w:r>
    </w:p>
    <w:p>
      <w:r>
        <w:t>FR: GE_GERICHTE AARP/417/2018 du 20 décembre 2018</w:t>
      </w:r>
    </w:p>
    <w:p>
      <w:r>
        <w:t>IT: GE_GERICHTE AARP/417/2018 del 20 dicembre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L'art. 19 al. 1 LStup punit celui qui, sans droit, entrepose, expédie, transporte, importe, exporte des stupéfiants ou les passe en transit (let. b) ; celui qui, sans droit, aliène ou prescrit des stupéfiants, en procure de toute autre manière à un tiers ou en met dans le commerce (let. c) ; celui qui, sans droit, possède, détient ou acquiert des stupéfiants ou s'en procure de toute autre manière (let. d).</w:t>
      </w:r>
    </w:p>
    <w:p>
      <w:r>
        <w:rPr>
          <w:b/>
        </w:rPr>
        <w:t>E. 2.1.2</w:t>
      </w:r>
    </w:p>
    <w:p>
      <w:r>
        <w:t>Les actes visés par l'art. 19 al. 1 let. a à f de la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 ATF 119 IV 266 consid. 3a et 118 IV 397 consid. 2c). La LStup laisse une place à la complicité notamment lorsque l'assistance porte sur l'acte d'un autre, présente un caractère accessoire et ne constitue pas en elle-même une infraction définie comme telle expressément par la loi (ATF 133 IV 187 consid. 3.2 ; 115 IV 59 consid. 3). Tel est, par exemple, le cas de celui qui fait le guet pendant une transaction (arrêt du Tribunal fédéral 6B_1230/2015 du 22 avril 2016 consid. 4.2.2), met à disposition un véhicule pour le transport de stupéfiants, aide à aménager une cachette dans une voiture (ATF 106 IV 72 consid. b) ou tient le volant d'un véhicule en panne sachant qu'il y a de la drogue à bord (ATF 113 IV 90 consid. 2). En revanche, la jurisprudence, rendue sous l'ancien droit mais qui reste applicable, a admis la qualité de coauteur de celui qui, comme conducteur, accomplit un trajet en voiture avec des personnes qui, de manière reconnaissable pour lui, font le parcours dans le seul but d'aller chercher, également dans son propre intérêt, des stupéfiants et de les ramener chez eux, et qui gardent la drogue sur eux, sans la cacher dans le véhicule (ATF 114 IV 162 consid. 1a ; arrêts du Tribunal fédéral 6B_381/2011 du 22 août 2011 consid. 2 ; 6P.60/2007 du 12 octobre 2007 consid. 11.1). Peu importe qu'il n'ait alors pas eu une maîtrise directe sur la drogue (cf. ATF 114 IV 162 consid. 1b ; arrêt 6B_1021/2013 du 29 septembre 2014 consid. 7.3). De même, celui qui met son logement à la disposition d'autrui, afin d'y</w:t>
      </w:r>
    </w:p>
    <w:p>
      <w:r>
        <w:t>- 11/21 - P/593/2018 dissimuler des stupéfiants, ne fait pas que tolérer d'une manière passive le dépôt de ceux-ci, aussi n'agit-il pas seulement en qualité de complice, mais, en raison de son comportement actif, il se rend également coupable de possession sans droit de stupéfiants, en tant qu'auteur indépendant (ATF 119 IV 266 consid. 3c). 2.2.1. Le prévenu conteste en appel la coactivité retenue en première instance. Il soutient n'avoir été qu'un intermédiaire entre F______ et D______, son seul intérêt dans la transaction étant de solder sa dette envers son ancien fournisseur de stupéfiants. En janvier 2018, lorsque l'appelant est contacté par E______ qui cherche du haschich, il sait immédiatement qui appeler. Son contact fonctionne puisque celui-ci peut fournir les cinq kilos demandés de suite. Demeurant l'unique point de contact avec le fournisseur, le prévenu accompagne E______ et D______ à Genève et les guide jusqu'à l'appartement de F______. Sur place, c'est lui seul qui monte chercher la drogue et la contrôle. Son ADN a été retrouvé sur la plaque de haschich entamée. C'est toujours lui qui met le sac contenant le haschich dans le coffre de la G______ et qui prend place dans ce véhicule. Ce comportement ne saurait être assimilé à celui du simple complice qui se contenterait par exemple de mettre une voiture à disposition pour le trajet ou de prêter assistance au transporteur en raison d'une panne de véhicule. Au contraire, ces actes remplissent à eux seuls les éléments constitutifs des infractions aux art. 19 al. 1 let. b et d LStup. De surcroît, on ne saurait suivre l'appelant quand il déclare avoir agi sous l'emprise des menaces de son ancien fournisseur. Il n'a pas établi au cours de la procédure l'existence de cette prétendue dette antérieure. Il n'a pas non plus prouvé avoir reçu des menaces de la part de F______, aux fins de remboursement de ladite dette. La fréquence des appels entre le 6 et le 7 janvier 2018 ne constitue pas un début de preuve à cet égard. Il n'apparaît pas vraisemblable qu'un individu qui serait si menaçant et réclamerait avec intensité sa créance, maintenant une pression constante, allant jusqu'à se rendre au domicile du débiteur et à le menacer en présence de sa famille, lui ferait suffisamment confiance pour lui confier la drogue retrouvée chez H______, encore moins qu'il accepte en définitive de renoncer à sa créance pour une unique transaction d'un montant somme toute pas si significatif. Au contraire, il est bien plus plausible que la drogue était, à tout le moins en partie, destinée à l'appelant. Il avait été actif par le passé dans la vente de stupéfiants et l'était encore comme le démontre le dossier. Son intérêt pour l'objet de la transaction apparaît encore renforcé du fait qu'il a contrôlé la marchandise dont il prenait livraison puisque son ADN a été retrouvé sur la plaque de haschich entamée, puis qu'il a pris place dans le véhicule transportant le haschich, ce qui lui permettait de surveiller sa marchandise. Si, réellement, sa dette avait été acquittée dès le moment</w:t>
      </w:r>
    </w:p>
    <w:p>
      <w:r>
        <w:t>- 12/21 - P/593/2018 où il avait remis la drogue à E______ et D______, il était censé ne plus être concerné par la transaction. Partant, à l'instar des premiers juges, la CPAR retiendra que les cinq kilos de haschich (4'811,90 grammes net) ont été achetés pour le compte de l'appelant, de E______ et de D______, lesquels les ont transportés et détenus, en qualité de coauteurs, et que la drogue devait être divisée entre eux trois. Le jugement entrepris sera confirmé sur ce point. 2.2.2. L'appelant ne saurait davantage être suivi lorsqu'il demande son acquittement du point B.I.1.5 de l'acte d'accusation pour les quatre occurrences décrites. Sa thèse selon laquelle les déclarations initiales des comparses auraient été concertées sur un aspect secondaire afin de mieux l'impliquer sur le volet principal paraît fantaisiste. Les trois acheteurs ont été constants sur ce point dès leur première audition devant la police, alors qu'ils n'avaient guère d'occasion de se concerter, et qu'ils s'incriminaient eux-mêmes.</w:t>
      </w:r>
    </w:p>
    <w:p>
      <w:r>
        <w:rPr>
          <w:b/>
        </w:rPr>
        <w:t>E. 3.1</w:t>
      </w:r>
    </w:p>
    <w:p>
      <w:r>
        <w:t>Les infractions selon chacune des hypothèses de l'art. 19 al. 1 LStup, ici let. b, c et d, sont punies d'une peine privative de liberté de trois ans au plus ou d'une peine pécuniaire. Celui qui aura consommé intentionnellement des stupéfiants est passible de l'amende (art. 19a ch. 1 LStup). À teneur de l'art. 115 al. 1 de la loi sur les étrangers et l'intégration (LEI, nouvelle appellation dès le 1er janvier 2019; anciennement : loi sur les étrangers, LEtr, étant précisé que la teneur de cette disposition n'a pas été modifiée), sera puni d'une peine privative de liberté d'un an au plus ou d'une peine pécuniaire, quiconque séjourne illégalement en Suisse (let. b).</w:t>
      </w:r>
    </w:p>
    <w:p>
      <w:r>
        <w:rPr>
          <w:b/>
        </w:rPr>
        <w:t>E. 3.1.1</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w:t>
      </w:r>
    </w:p>
    <w:p>
      <w:r>
        <w:t>- 13/21 - P/593/2018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w:t>
      </w:r>
    </w:p>
    <w:p>
      <w:r>
        <w:rPr>
          <w:b/>
        </w:rPr>
        <w:t>E. 3.1.2</w:t>
      </w:r>
    </w:p>
    <w:p>
      <w:r>
        <w:t>En matière de trafic de stupéfiants, il y a lieu de tenir compte, plus spécialement, des circonstances suivantes (arrêt du Tribunal fédéral 6B_189/2017 du</w:t>
      </w:r>
    </w:p>
    <w:p>
      <w:r>
        <w:rPr>
          <w:b/>
        </w:rPr>
        <w:t>E. 3.1.3</w:t>
      </w:r>
    </w:p>
    <w:p>
      <w:r>
        <w:t>Le repentir sincère visé à l'art. 48 lit. d CP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Pour bénéficier de la circonstance atténuante prévue à l'art. 48 lit.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w:t>
      </w:r>
    </w:p>
    <w:p>
      <w:r>
        <w:rPr>
          <w:b/>
        </w:rPr>
        <w:t>E. 3.1.4</w:t>
      </w:r>
    </w:p>
    <w:p>
      <w:r>
        <w:t>D'après l'art. 49 al. 1 CP, si, en raison d'un ou de plusieurs actes, l'auteur remplit les conditions de plusieurs peines de même genre, le juge le condamne à la peine de l'infraction la plus grave et l'augmente dans une juste proportion. En</w:t>
      </w:r>
    </w:p>
    <w:p>
      <w:r>
        <w:t>- 14/21 - P/593/2018 revanche, lorsque la loi pénale ne prévoit pas le même genre de peine pour toutes les infractions, l'art. 49 al. 1 CP ne s'applique pas et les peines doivent être prononcées cumulativement (ATF 137 IV 57 consid. 4.3). Il y a plusieurs peines identiques lorsque le tribunal prononce dans le cas d'espèce, pour chaque norme violée, des peines du même genre (méthode concrète) (ATF 138 IV 120 consid. 5.2).</w:t>
      </w:r>
    </w:p>
    <w:p>
      <w:r>
        <w:rPr>
          <w:b/>
        </w:rPr>
        <w:t>E. 3.1.5</w:t>
      </w:r>
    </w:p>
    <w:p>
      <w:r>
        <w:t>Selon l’art. 43 CP, le juge peut suspendre partiellement l'exécution d'une peine privative de liberté d'un an au moins et de trois ans au plus afin de tenir compte de façon appropriée de la faute de l'auteur (al. 1). La partie à exécuter doit être au moins de six mois (al. 3), mais ne peut pas excéder la moitié de la peine (al. 2). 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w:t>
      </w:r>
    </w:p>
    <w:p>
      <w:r>
        <w:rPr>
          <w:b/>
        </w:rPr>
        <w:t>E. 3.1.6</w:t>
      </w:r>
    </w:p>
    <w:p>
      <w:r>
        <w:t>Selon l'art. 46 CP, si, durant le délai d'épreuve, le condamné commet un crime ou un délit et qu'il y a dès lors lieu de prévoir qu'il commettra de nouvelles infractions, le juge révoque le sursis (alinéa 1, première phrase). S'il n'y a pas lieu de prévoir que le condamné commettra de nouvelles infractions, le juge renonce à ordonner la révocation (alinéa 2, première phrase).</w:t>
      </w:r>
    </w:p>
    <w:p>
      <w:r>
        <w:t>L'art. 46 al. 1 CP prévoit en outre que si la peine dont le sursis est révoqué et la nouvelle peine prononcée sont du même genre, le juge fixe une peine d'ensemble en appliquant par analogie l'art. 49 al. 1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w:t>
      </w:r>
    </w:p>
    <w:p>
      <w:r>
        <w:t>- 15/21 - P/593/2018 (ATF 134 IV 140 consid. 4.4 et 4.5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w:t>
      </w:r>
    </w:p>
    <w:p>
      <w:r>
        <w:rPr>
          <w:b/>
        </w:rPr>
        <w:t>E. 3.2</w:t>
      </w:r>
    </w:p>
    <w:p>
      <w:r>
        <w:t>La faute de l'appelant est grave. Il persiste à séjourner illégalement en Suisse, malgré l'injonction de quitter le territoire dont il fait l'objet, afin de se livrer au trafic de stupéfiants. Il a agi à réitérées reprises sous différentes casquettes : gardien de la drogue confiée par F______, détenteur, transporteur et vendeur au détail pour son propre compte. Les mobiles du prévenu sont égoïstes, puisque liés à l'appât d'un gain facile. Certes, l'appelant a contribué à l'enquête par ses déclarations à propos de F______. Il n'est cependant pas seul à l'origine de la mise en cause de ce dernier, la police enquêtait déjà sur celui-ci avant l'interpellation des quatre protagonistes comme il ressort du rapport de police du 22 février 2018. Par ailleurs, la bonne collaboration du prévenu a été ternie par ses dénégations et minimisations concernant sa propre implication, dénégations qui perdurent aujourd'hui encore. La communication d'informations apparaît davantage opportuniste que suscitée par une prise de conscience et une véritable volonté de changer de mode de vie, de sorte qu'il n'y a pas de place pour l'application de la circonstance atténuante du repentir sincère.</w:t>
      </w:r>
    </w:p>
    <w:p>
      <w:r>
        <w:t>- 16/21 - P/593/2018 A la décharge de l'appelant, il y a cependant lieu de tenir compte de son mérite en donnant des informations importantes sur le fournisseur de haschich. Mais doit surtout être porté à son crédit le fait que les délits dont il est question concernaient une quantité certes non anodine mais pas non plus significative de haschich et de cocaïne. Il y a concours d'infractions au sens de l'art. 49 al. 1 CP, ce qui justifie une augmentation de la peine de l'infraction la plus grave. Les éléments qui précèdent imposent de confirmer le choix du genre de peine pour les infractions aux art. 19 al. 1 let. b, c et d LStup et 115 al. 1 let. b LEI, que l'appelant n'a d'ailleurs pas critiqué. En effet, la peine pécuniaire ne saurait entrer en considération, faute d'effet dissuasif. L'appelant a fait preuve d'imperméabilité aux sanctions déjà prononcées, comprenant des peines d'emprisonnement. Il a poursuivi son comportement délictuel spécifique sans amendement aucun. Le sursis de 18 mois octroyé le 2 septembre 2015 par le Tribunal correctionnel de ______ (VD) sera révoqué, en présence d'un pronostic défavorable. L'appelant n'a pas commis un faux pas unique mais est retourné à son mode de vie, intégrant le trafic de haschich comme activité régulière. Toutes les circonstances personnelles dont il se prévaut aujourd'hui, soit l'existence d'une relation stable, la responsabilité de deux enfants et une possibilité de travailler, étaient réunies lorsqu'il a commis les infractions présentement jugées, sans que cela ne le retienne de s'y livrer. La fixation d'une peine d'ensemble s'impose. Les actes abstraitement les plus graves au sens de l'art. 49 al. 1 CP sont ceux d'infractions à l'art. 19 al. 1 let. b, c et d LStup. Aussi, la CPAR juge approprié une peine privative de liberté de cinq mois, auxquels s'ajoutera un mois afin de tenir compte du concours avec l'infraction de séjour illégal. A la peine globale de six mois prononcée dans la présente procédure s'ajoutera la peine privative de liberté révoquée de 18 mois. La peine d'ensemble sera ainsi de 24 mois. Vu l'ancrage de l'appelant dans la délinquance, en particulier dans le trafic de stupéfiants, ainsi que le risque de récidive, au regard de son parcours, le pronostic d'avenir est concrètement défavorable. Aussi, une mesure de sursis, même partiel, n'entre pas en considération (art. 43 al. 1 a contrario CP). Partant, l'appelant sera condamné à une peine privative de liberté d'ensemble ferme de 24 mois, partiellement complémentaire à celle prononcée le 2 juin 2017 par le Ministère public de l'arrondissement de ______ (VD). Le prononcé d'une amende de CHF 300.- infligée en raison de l'infraction à l'art. 19a ch. 1 LStup, non contesté en appel, sera confirmé.</w:t>
      </w:r>
    </w:p>
    <w:p>
      <w:r>
        <w:t>- 17/21 - P/593/2018 4. 4.1. L'appelant, qui succombe pour l'essentiel, supportera 9/10èmes des frais de la procédure envers l'État (art. 428 CPP), qui comprennent un émolument de décision de CHF 2'000.-.</w:t>
      </w:r>
    </w:p>
    <w:p>
      <w:r>
        <w:t>4.2. Au vu de ce qui précède, en particulier de la confirmation du verdict de culpabilité, la répartition des frais de première instance ne sera pas revue (art. 428 al. 3 CPP). 5. 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200.- pour un chef d'étude, débours de l'étude inclus (let. c). En cas d'assujettissement, l'équivalent de la TVA est versé en sus.</w:t>
      </w:r>
    </w:p>
    <w:p>
      <w:r>
        <w:t>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 ATF 125 V 408 consid. 3a ; arrêts du Tribunal fédéral 6B_1410/2017 du 15 juin 2018 consid. 4.1 ; décision du Tribunal pénal fédéral BB.2015.85 du 12 avril 2016 consid. 3.2.3).</w:t>
      </w:r>
    </w:p>
    <w:p>
      <w:r>
        <w:t>- 18/21 - P/593/2018</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t>5.2.3. L'activité consacrée aux conférences, audiences et autres actes de la procédure est forfaitairement majorée de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10% au-delà de 30 heures d'activité,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w:t>
      </w:r>
    </w:p>
    <w:p>
      <w:r>
        <w:t>5.3. En l'occurrence, en lien avec l'activité de la défenseure d'office en appel, seule la moitié des heures consacrées à la préparation des débats (05h00) sera retenue, le dossier étant censé bien connu de l'avocate qui venait de le plaider en première instance et l'argumentation développée devant la Cour de céans étant substantiellement la même que devant les premiers juges. Il en va de même des entretiens avec le client, trois visites, soit une par mois, apparaissant amplement suffisantes pour orienter l'appelant sur les chances de succès et les coûts en cas de rejet, ainsi que recueillir sa détermination, celui-ci ne contestant pour l'essentiel pas les faits (04h30). A ces heures, s'ajoutera la durée de l'audience (02h00).</w:t>
      </w:r>
    </w:p>
    <w:p>
      <w:r>
        <w:t>En conclusion, l'indemnité sera arrêtée à CHF 2'824.80 correspondant à 11h30 d'activité au tarif de CHF 200/heure (CHF 2'300.-), plus la majoration forfaitaire de 10% (CHF 230.-) et la TVA, au taux de 7,7% (CHF 194.80), ainsi que le déplacement à l'audience d'appel (CHF 100.-). * * * * *</w:t>
      </w:r>
    </w:p>
    <w:p>
      <w:r>
        <w:t>- 19/21 - P/593/2018</w:t>
      </w:r>
    </w:p>
    <w:p>
      <w:r>
        <w:rPr>
          <w:b/>
        </w:rPr>
        <w:t>E. 6</w:t>
      </w:r>
    </w:p>
    <w:p>
      <w:r>
        <w:t>consid. 6.1).</w:t>
      </w:r>
    </w:p>
    <w:p>
      <w:r>
        <w:rPr>
          <w:b/>
        </w:rPr>
        <w:t>E. 7</w:t>
      </w:r>
    </w:p>
    <w:p>
      <w:r>
        <w:t>décembre 2017 consid. 5.1 ; voir aussi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138 IV 100 consid. 3.2 ; arrêt du Tribunal fédéral 6B_189/2017 du 7 décembre 2017 consid. 5.1 et les références). La drogue et sa pureté doivent aussi être prises en considération. Le type et la nature du trafic en cause sont aussi déterminants. L'appréciation est différente selon que l'auteur a agi de manière autonome ou comme membre d'une 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 celui qui écoule une fois un kilo d'héroïne sera en principe moins sévèrement puni que celui qui vend cent grammes à dix reprises (arrêt du Tribunal fédéral 6B_189/2017 du 7 décembre 2017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