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AARP/417/2015 vom 5. Oktober 2015</w:t>
      </w:r>
    </w:p>
    <w:p>
      <w:r>
        <w:t>GE Cour de justice, 2015-10-05, FR</w:t>
      </w:r>
    </w:p>
    <w:p>
      <w:r>
        <w:rPr>
          <w:b/>
        </w:rPr>
        <w:t xml:space="preserve">Quelle: </w:t>
      </w:r>
      <w:r>
        <w:t>https://mcp.opencaselaw.ch/entscheid/ge_gerichte_AARP_417_2015</w:t>
      </w:r>
    </w:p>
    <w:p>
      <w:r>
        <w:t>FR: GE_GERICHTE AARP/417/2015 du 5 octobre 2015</w:t>
      </w:r>
    </w:p>
    <w:p>
      <w:r>
        <w:t>IT: GE_GERICHTE AARP/417/2015 del 5 ottobre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Est entendu en qualité de personne appelée à donner des renseignements, quiconque, sans être soi-même prévenu, pourrait s'avérer être soit l'auteur des faits à élucider ou d'une infraction connexe, soit un participant à ces actes (art. 178 let. d CPP). Le cas de figure prévu par l'art. 178 let. d CPP est donc très étroit : pour y correspondre, la personne entendue doit être suspectée, mais pas suffisamment pour comparaître en qualité de prévenu. La personne entendue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 ci ne doit pas être le sujet des actes de procédure entrepris (A. KUHN / Y. JEANNERET (éds), Commentaire romand : Code de procédure pénale suisse, Bâle 2011, n. 18 ad art. 178). 2.1.2. Selon l'art. 111 CPP, est désigné comme "prévenu" non seulement le prévenu stricto sensu, soit, comme cela découle de l'art. 158 al. 1 let. a CPP, la personne contre qui une procédure préliminaire est ouverte, mais également celui qui est simplement soupçonné d'avoir pu commettre une infraction et celui qui, après la clôture de la procédure préliminaire, est mis en accusation et renvoyé en jugement (prévenu lato sensu).</w:t>
      </w:r>
    </w:p>
    <w:p>
      <w:r>
        <w:t>- 9/22 - P/17317/2012 Partant, pour qu'une autorité pénale ait l'obligation d'informer le "prévenu" des charges qui pèsent sur lui, une procédure préliminaire doit avoir été ouverte. Selon l'art. 300 al. 1 CPP, une procédure préliminaire est introduite par les investigations de la police ou par l'ouverture d'une instruction par le ministère public. Dans le premier cas, une décision formelle n'est pas nécessaire, la police se basant sur des soupçons provenant de ses propres constatations, d'une plainte déposée chez elle, ou encore d'une directive du ministère public. Par contre, lorsque la procédure préliminaire est introduite par le ministère public, une décision d'ouverture au sens de l'art. 309 al. 3 CPP est nécessaire, si les conditions d'ouverture au sens de l'art. 309 al. 1 CPP sont données (ACPR/364/2011 du 8 décembre 2011, consid. 2.1). 2.1.3. A teneur de l'art. 158 al. 1 let. a CPP, au début de la première audition, la police (ou le ministère public) informe le prévenu, dans une langue qu'il comprend, qu'une procédure préliminaire est ouverte contre lui et pour quelles infractions. Il convient, d'une part, d'attirer l'attention du prévenu sur le fait qu'une procédure préliminaire est ouverte contre lui et, d'autre part, de lui exposer d'une manière aussi complète que possible les infractions qui lui sont reprochées. Il ne suffira donc pas, par exemple, de l'accuser "globalement" de trafic de stupéfiant, voire d'infraction à la législation sur les stupéfiants. L'autorité devra bien plutôt lui rappeler des faits précis (y compris le lieu dans lequel ils se sont déroulés et l'heure à laquelle ils ont été constatés) qui constituent une telle infraction. En d'autres termes, il y a lieu de reprocher aux prévenus des faits décrits de manière aussi complète que possible et l'infraction qui découle de ces faits, mais non de porter, à ce stade, une appréciation juridique précise (Message relatif à l'unification du droit de la procédure pénale [CPP] du 21 décembre 2005, FF 2006 p. 1057 ss, p. 1072-1073 [ci-après : Message]). L'idée est de permettre au prévenu de comprendre l'objet de l'interrogatoire et de pouvoir prendre position en toute connaissance de cause. L'information devrait comprendre les éléments constitutifs principaux de l'infraction, tels que lieu et date (éventuellement approximatifs) de l'infraction, identité du ou des lésés s'il y en a, bref descriptif du mode opératoire, et éventuellement rôle joué dans la commission de l'infraction. On peut admettre que les autorités puissent omettre de transmettre tous les détails de l'affaire, que ce soit en raison de l'envergure des faits, pour pouvoir vérifier la crédibilité d'un éventuel aveu, ou encore pour prévenir les risques de collusion. Les moyens de preuve n'ont pas besoin d'être indiqués dans ce cadre, leur accessibilité éventuelle devant s'examiner sous l'angle de l'accès au dossier (A. KUHN / Y. JEANNERET (éds), Commentaire romand : Code de procédure pénale suisse, Bâle 2011, n. 14 ad art 158 ; G. PIQUEREZ / A. MACALUSO, Procédure pénale suisse, 3e édition, Genève 2011, p. 159). Les reproches généraux (par ex. "vous êtes prévenu d'avoir causé une lésion corporelle") ne sont pas autorisés (N. SCHMID, Schweizerische Strafprozessordnung : Praxiskommentar, 2e éd., Zurich 2013).</w:t>
      </w:r>
    </w:p>
    <w:p>
      <w:r>
        <w:t>- 10/22 - P/17317/2012 Le caractère suffisant de l'information dépend ainsi des circonstances du cas ; lorsque l'information est donnée par le ministère public, ce caractère doit également être apprécié au regard de l'information déjà communiquée par la police (TPF 2011 152 ; arrêt du Tribunal pénal fédéral BB.2012.147 du 16 janvier 2013 consid. 3.2.3). 2.1.4. Force est de constater qu'en l'espèce l'appelant n'a été entendu en qualité de prévenu ni à la police, devant laquelle il a été entendu en qualité de personne appelée à donner des renseignements, dans l'ignorance que son ex-épouse allait déposer plainte pénale quelques heures plus tard, ni par le Ministère public qui a rendu une ordonnance pénale à son encontre sans procéder à une audition, laquelle contenait tous les éléments de fait et de droit retenus à son encontre. Il importe donc moins de savoir si la mise en prévention demandée par l'appelant devait revêtir la forme d'une notification formelle de charges, à l'instar de l'inculpation dans l'ancienne procédure pénale genevoise, que de déterminer si le Ministère public eût dû ouvrir une instruction contre lui du chef de lésions corporelles simples (art. 123 ch. 1 et ch. 2 CP) et l'entendre comme prévenu avant de lui notifier l'ordonnance pénale du 25 janvier 2013. 2.2.1. Selon l'art. 352 al. 1 CPP, le ministère public peut rendre une ordonnance pénale si, durant la procédure préliminaire, le prévenu a admis les faits ou que ceux-ci sont établis et que, incluant une éventuelle révocation d'un sursis ou d'une libération conditionnelle, il estime suffisant l'une des peines énumérées aux lettres a à d de cette disposition. La validité d'une ordonnance pénale au regard des droits garantis par l'art. 6 de la Convention de sauvegarde des droits de l'homme et des libertés fondamentales du</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4.1.2.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w:t>
      </w:r>
    </w:p>
    <w:p>
      <w:r>
        <w:t>- 14/22 - P/17317/2012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4.1.3.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4.1.4.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w:t>
      </w:r>
    </w:p>
    <w:p>
      <w:r>
        <w:t>- 15/22 - P/17317/2012 La fixation d'une peine d'ensemble n'est pas possible en cas de sanctions de genre différent. Ainsi, il est exclu de prononcer une peine privative de liberté, à titre de peine complémentaire, à une peine pécuniaire ordonnée précédemment (ATF 137 IV 57 consid. 4.3). 4.1.5.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4.1.6.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w:t>
      </w:r>
    </w:p>
    <w:p>
      <w:r>
        <w:t>- 16/22 - P/17317/2012</w:t>
      </w:r>
    </w:p>
    <w:p>
      <w:r>
        <w:rPr>
          <w:b/>
        </w:rPr>
        <w:t>E. 4.2</w:t>
      </w:r>
    </w:p>
    <w:p>
      <w:r>
        <w:t>La faute de l'appelant n'est pas négligeable. Il s'en est pris sans scrupules à l'intégrité corporelle de son épouse, ce en présence de l'enfant de celle-ci et d'un camarade de foot. Il a manifestement agi contrarié par sa conjointe qui était intervenue pour lui demander de rentrer au domicile familial et l'empêcher de consommer davantage d'alcool. Il n'a pas pris conscience de la gravité des faits, persistant à les nier au stade de l'appel encore et accusant sa victime de complot à son égard. Il n'a émis aucun regret ni excuse vis-à-vis de celle qui partageait sa vie et de l'enfant de cette dernière, nonobstant les lésions psychiques dont ils ont tous deux souffert des suites de ses agissements. Le comportement de l'appelant, qui ne saurait être qualifié de peu de gravité, et ayant eu des conséquences préjudiciables pour ces deux personnes qui partageaient sa vie, une exemption de peine en application de l'art. 52 CP ne saurait entrer en considération. Une exemption de peine fondée sur l'art. 54 CP n'entre pas davantage en ligne de compte dans la mesure où l'appelant ne fait valoir au stade de l'appel qu'un préjudice indirect, à savoir le non renouvellement de son permis B, lié, sans rendre vraisemblable ce lien de causalité, à la présente procédure, étant en effet relevé que la condamnation du ______ mars 2014 pourrait avoir une incidence sur cette situation administrative, et les conséquences en découlant telles la perte de l'aide sociale et l'impossibilité de travailler. L'appelant avait au stade du jugement de première instance des antécédents notamment pour des faits de violence envers les autorités et les fonctionnaires, selon condamnation du Ministère public du ______ mars 2014. Une peine complémentaire de 60 jours-amende à CHF 10.- l'unité a partant été ordonnée par le Tribunal de police dans son jugement querellé. L'appelant a depuis lors été condamné à trois autres reprises, pour des contraintes commises à réitérées reprises, injure, opposition aux actes de l'autorité, vol et violation de domicile, dont deux fois à des peines pécuniaires (condamnations des ______ décembre 2014 et ______ janvier 2015), et une fois à une peine privative de liberté (condamnation du ______ février 2015). L'appelant devant être condamné, dans le cadre de la présente procédure, à une peine pécuniaire, il n'y a pas lieu de tenir compte du concours réel rétrospectif par rapport à sa condamnation du ______ février 2015 (P/1______). La peine n'est ainsi complémentaire que par rapport aux condamnations du ___ mars 2014 (comme retenu par le premier juge, P/2______), du ______ décembre 2014 (P/3______) et du ______ janvier 2015 (P/4______). Le jugement de première instance sera rectifié sur ce point.</w:t>
      </w:r>
    </w:p>
    <w:p>
      <w:r>
        <w:t>- 17/22 - P/17317/2012 En prononçant une peine pécuniaire de 60 jours-amende, le premier juge n'a pas pu tenir compte de l'ensemble de ces éléments intervenus postérieurement à son jugement. Il n'en demeure pas moins que si tel avait été le cas, la peine prononcée en relation avec les faits de la présente procédure n'aurait pas forcément été moindre, mais plutôt supérieure du fait du concours d'infractions et de l'absence de concours réel rétrospectif pour l'une des peines. La quotité ainsi retenue en première instance sera confirmée à 60 unités. De même, le montant du jour-amende, fixé à CHF 10.- par le premier juge et correspondant au plancher jurisprudentiel, est adapté à la situation financière de l'appelant. Ainsi, tant la quotité de la peine que le montant du jour-amende doivent être confirmés. Pour ces motifs, et hormis la rectification susmentionnée, le jugement entrepris sera confirmé. La mesure de sursis prononcée, dont les conditions étaient au demeurant réalisées au moment du prononcé du jugement entrepris, est acquise à l'appelant (art. 391 al. 2 CPP). Le délai d'épreuve, arrêté à trois ans, n'est pas critiquable et de nature à le dissuader de commettre de nouvelles infractions. Le jugement entrepris sera en conséquence également confirmé sur ces points.</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w:t>
      </w:r>
    </w:p>
    <w:p>
      <w:r>
        <w:rPr>
          <w:b/>
        </w:rPr>
        <w:t>E. 5.2</w:t>
      </w:r>
    </w:p>
    <w:p>
      <w:r>
        <w:t>En l'espèce, la partie plaignante ayant obtenu gain de cause en appel, elle peut prétendre à l'indemnisation de ses frais de défense, qui seront admis à hauteur de CHF 952.55, TVA à 8% comprise, soit 4h25' au tarif horaire demandé de CHF 200.-, inférieur à la pratique genevoise en cours.</w:t>
      </w:r>
    </w:p>
    <w:p>
      <w:r>
        <w:t>- 18/22 - P/17317/2012</w:t>
      </w:r>
    </w:p>
    <w:p>
      <w:r>
        <w:rPr>
          <w:b/>
        </w:rPr>
        <w:t>E. 6.1</w:t>
      </w:r>
    </w:p>
    <w:p>
      <w:r>
        <w:t>L'art. 49 CO prévoit que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Dans la mesure où il est établi que l'intimée a subi une atteinte à la personnalité du fait des agissements illicites pour lesquels l'appelant est condamné, le principe de l'allocation d'une indemnité pour tort moral doit être confirmé, de même que le montant arrêté, par les premiers juges, comme demandé, à CHF 1.-.</w:t>
      </w:r>
    </w:p>
    <w:p>
      <w:r>
        <w:rPr>
          <w:b/>
        </w:rPr>
        <w:t>E. 7</w:t>
      </w:r>
    </w:p>
    <w:p>
      <w:r>
        <w:t>En l'absence d'acquittement, l'appelant sera débouté de ses conclusions en indemnisation (art. 429 CPP).</w:t>
      </w:r>
    </w:p>
    <w:p>
      <w:r>
        <w:rPr>
          <w:b/>
        </w:rPr>
        <w:t>E. 8</w:t>
      </w:r>
    </w:p>
    <w:p>
      <w:r>
        <w:t>L'appelant, qui succombe, supportera les frais de la procédure d'appel, lesquels comprennent un émolument de jugement de CHF 1'800.- (art. 428 CPP et art. 14 du règlement fixant le tarif des frais en matière pénale du 22 décembre 2010 [RFTMP ; RS E 4 10.03]).</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w:t>
      </w:r>
    </w:p>
    <w:p>
      <w:r>
        <w:rPr>
          <w:b/>
        </w:rPr>
        <w:t>E. 9.2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w:t>
      </w:r>
    </w:p>
    <w:p>
      <w:r>
        <w:t>- 19/22 - P/17317/2012 particulièrement volumineux ou nécessitant un examen poussé, charge à l'avocat d'en justifier.</w:t>
      </w:r>
    </w:p>
    <w:p>
      <w:r>
        <w:rPr>
          <w:b/>
        </w:rPr>
        <w:t>E. 9.3</w:t>
      </w:r>
    </w:p>
    <w:p>
      <w:r>
        <w:t>Me B______ a été nommé défenseur d'office de l'appelant le 14 avril 2014. Il a présenté le 28 septembre 2015 une note d'honoraires pour 9h30' d'activité déployée entre le ______ mars et le 26 septembre 2015, réservant la durée de l'audience devant la CPAR. La durée retenue pour la déclaration d'appel, usuellement comprise dans le forfait activités diverses, mais qui en l'état comprend un développement sur la validité d'ordonnance pénale, déjà présenté en première instance, sera réduite de moitié et arrêtée à 1h. Les postes de "préparation plaidoiries et audience", de même que "conférences avec le client", totalisant 6h30' d'activité pour une procédure ne comportant aucune difficulté particulière, pour une défense identique à celle présentée en première instance, sont excessifs et seront ramenés à 4h. C'est enfin une durée de 1h10' qui sera retenue pour l'audience du 28 septembre 2015.</w:t>
      </w:r>
    </w:p>
    <w:p>
      <w:r>
        <w:t>L'indemnité réclamée sera arrêtée à CHF 1'857.60, correspondant à 7h10' d'activité au taux horaire de CHF 200.-, plus indemnisation forfaitaire de 20%, soit CHF 286.65, et la TVA de CHF 137.60. * * * * *</w:t>
      </w:r>
    </w:p>
    <w:p>
      <w:r>
        <w:t>- 20/22 - P/17317/2012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