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AARP/416/2020 vom 14. Dezember 2020</w:t>
      </w:r>
    </w:p>
    <w:p>
      <w:r>
        <w:t>GE Cour de justice, 2020-12-14, FR</w:t>
      </w:r>
    </w:p>
    <w:p>
      <w:r>
        <w:rPr>
          <w:b/>
        </w:rPr>
        <w:t xml:space="preserve">Quelle: </w:t>
      </w:r>
      <w:r>
        <w:t>https://mcp.opencaselaw.ch/entscheid/ge_gerichte_AARP_416_2020</w:t>
      </w:r>
    </w:p>
    <w:p>
      <w:r>
        <w:t>FR: GE_GERICHTE AARP/416/2020 du 14 décembre 2020</w:t>
      </w:r>
    </w:p>
    <w:p>
      <w:r>
        <w:t>IT: GE_GERICHTE AARP/416/2020 del 14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À teneur de l’art. 10d al. 1 de l’ord. 2 COVID-19, devenu art. 10f le 26 mars 2020 (RO 2020 786 ; RO 2020 1067), en vigueur au moment des faits, quiconque, intentionnellement, s’oppose aux mesures visées à l’art. 6, est puni d’une peine privative de liberté de trois ans au plus ou d’une peine pécuniaire, à moins qu’il n’ait commis une infraction plus grave au sens du code pénal. L’ord. 2 COVID-19, adoptée par le CF le 13 mars 2020 et abrogée le 22 juin 2020, a été initialement adoptée et fondée sur la base des art. 184 al. 3 et 185 al. 3 Cst. et donc le droit d'urgence (RO 2020 773). À partir du 17 mars 2020, le CF en a modifié le préambule pour la fonder sur l'art. 7 de la loi fédérale sur la lutte contre les maladies transmissibles de l'homme [LEp] (RO 2020 783) et a supprimé la référence aux articles constitutionnels. Malgré cette suppression à caractère purement formel, il faut retenir que l'ord. 2 COVID-19 est basée sur les articles précités et partant, constitue une base légale suffisante pour fonder une restriction aux droits fondamentaux (AARP/345/2020).</w:t>
      </w:r>
    </w:p>
    <w:p>
      <w:r>
        <w:rPr>
          <w:b/>
        </w:rPr>
        <w:t>E. 2.2</w:t>
      </w:r>
    </w:p>
    <w:p>
      <w:r>
        <w:t>À juste titre, l'appelant ne conteste pas sa culpabilité laquelle repose sur l'art. 10d al. 1 de l'ord. 2 COVID-19, devenu art. 10f le 26 mars 2020 (RO 2020 786 ; RO 2020 1067), en vigueur au moment des faits.</w:t>
      </w:r>
    </w:p>
    <w:p>
      <w:r>
        <w:rPr>
          <w:b/>
        </w:rPr>
        <w:t>E. 3.1</w:t>
      </w:r>
    </w:p>
    <w:p>
      <w:r>
        <w:t>Selon l'art. 66abis CP, le juge peut expulser un étranger du territoire suisse pour une durée de trois à quinze ans si, pour un crime ou un délit non visé à l'art. 66 CP, celui-ci a été condamné à une peine ou a fait l'objet d'une mesure au sens des art. 59 à 61 ou 64 CP. L'expulsion est une Kann-Vorschrift (G. MÜNCH / F. DE WECK, Die neue Landesverweisung, in Art. 66a ff. StGB, Revue de l'avocat 2016, p. 163; G. FIOLKA / L. VETTERLI, Landesverweisung nach Art. 66a StGB als strafrechtliche Sanktion, cahier spécial, Plädoyer 5/16, p. 86 ; AARP/185/2017 du 2 juin 2017 consid. 2.2 ; AARP/179/2017 du 30 mai 2017 consid. 3.1.2).</w:t>
      </w:r>
    </w:p>
    <w:p>
      <w:r>
        <w:t>- 5/10 - P/6351/2020 Le juge est donc libre, sans autre justification, de renoncer à l'expulsion facultative (M. BUSSLINGER / P. UEBERSAX, Härtefallklausel und migrationsrechtliche Auswirkungen der Landesverweisung, cahier spécial, Plaidoyer 5/2016, p. 98). Comme toute décision étatique, le prononcé d'une expulsion non obligatoire doit respecter le principe de la proportionnalité.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w:t>
      </w:r>
    </w:p>
    <w:p>
      <w:r>
        <w:rPr>
          <w:b/>
        </w:rPr>
        <w:t>E. 3.2</w:t>
      </w:r>
    </w:p>
    <w:p>
      <w:r>
        <w:t>En l'espèce, l'appelant a commis des infractions réitérées à l'ord. 2 COVID-19 dont certaines après avoir été interpellé une première fois. Partant, il démontre ainsi une absence de prise de conscience de la gravité du risque qu'il a fait courir à la santé et à la sécurité publiques par ses agissements. L'appelant n'a pas de lien sérieux avec la Suisse, aucun membre de sa famille n'y réside et sa motivation à y demeurer est uniquement économique. Certes, il est régulièrement suivi aux Hôpitaux Universitaires de Genève pour sa trithérapie, mais rien, à teneur du dossier, permettrait de douter qu'il ne puisse en bénéficier à l'étranger également.</w:t>
      </w:r>
    </w:p>
    <w:p>
      <w:r>
        <w:t>Cependant, il faut relever que les faits reprochés sont relatifs à un contexte particulier, dans une période extraordinaire et ne sont pas forcément le reflet d'un ancrage de l'appelant dans la délinquance, notamment car ce dernier n'a pas d'antécédents. L'appelant a très mal vécu sa détention et on peut espérer qu'il s'abstienne à l'avenir de compromettre les intérêts de son pays d'accueil. Il faut également relever que le MP a modifié ses conclusions et s'en rapporte désormais à justice pour l'expulsion de l'appelant, cela à l'aune du principe d'égalité de traitement suite à l'arrêt AARP/345/2020 du 7 octobre 2020 concernant une affaire similaire. Compte tenu par ailleurs du caractère strictement transitoire et temporaire de la législation violée par l’appelant, son expulsion apparaît disproportionnée. L'appel sera admis sur ce point.</w:t>
      </w:r>
    </w:p>
    <w:p>
      <w:r>
        <w:rPr>
          <w:b/>
        </w:rPr>
        <w:t>E. 4</w:t>
      </w:r>
    </w:p>
    <w:p>
      <w:r>
        <w:t>4.1.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w:t>
      </w:r>
    </w:p>
    <w:p>
      <w:r>
        <w:t>- 6/10 - P/6351/2020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de la Constitution fédérale de la Confédération suisse du 18 avril 1999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(ATF 137 IV 249 consid. 4.5 p. 256 ; arrêt du Tribunal fédéral 6B_35/2017 du 26 février 2018 consid. 9.1).</w:t>
      </w:r>
    </w:p>
    <w:p>
      <w:r>
        <w:rPr>
          <w:b/>
        </w:rPr>
        <w:t>E. 4.2</w:t>
      </w:r>
    </w:p>
    <w:p>
      <w:r>
        <w:t>En l'espèce, les téléphones portables confisqués par le Tribunal de police ont été utilisés pour contacter les clients de l'appelant dans le cadre de son activité professionnelle. Or, la pratique de ladite activité était interdite dans le contexte sanitaire particulier. Partant, le lien de connexité entre le téléphone et l'infraction est établi. La prostitution était, au moment où l'appel a été déposé, interdite à Genève en raison des mesures sanitaires visant à contrôler l'épidémie. Dès lors, il existe un danger pour la sécurité des personnes, la morale et l'ordre public et il convient de confirmer la confiscation des téléphones portables en tant que mesure de sécurité. L'état de santé actuel allégué par l'appelant, qui souffre d'une fracture, est guérissable. Le grief de l'appelant sera donc rejeté sur ce point.</w:t>
      </w:r>
    </w:p>
    <w:p>
      <w:r>
        <w:rPr>
          <w:b/>
        </w:rPr>
        <w:t>E. 5</w:t>
      </w:r>
    </w:p>
    <w:p>
      <w:r>
        <w:t>5.1. Au sens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5.2</w:t>
      </w:r>
    </w:p>
    <w:p>
      <w:r>
        <w:t>En l'espèce, si l'appelant conclut à la restitution de CHF 490.- dans la déclaration d'appel du 29 juin 2020, il n'est plus fait mention de ce grief dans le mémoire d'appel du 18 novembre 2020. Serait-il recevable que la CPAR rejette ce grief dès lors que la somme de CHF 490.- est le résultat de l'infraction, à savoir les revenus tirés de l'activité de prostitution de l'appelant, activité interdite lors de la propagation de la pandémie COVID-19.</w:t>
      </w:r>
    </w:p>
    <w:p>
      <w:r>
        <w:rPr>
          <w:b/>
        </w:rPr>
        <w:t>E. 6</w:t>
      </w:r>
    </w:p>
    <w:p>
      <w:r>
        <w:t>L'appelant, qui succombe partiellement mais obtient gain de cause sur l'expulsion, supportera la moitié des frais de la procédure d'appel envers l'Etat (art. 428 CPP). Le verdict de culpabilité étant intégralement confirmé, il supportera la totalité des frais de procédure de première instance, mais l’émolument complémentaire de</w:t>
      </w:r>
    </w:p>
    <w:p>
      <w:r>
        <w:t>- 7/10 - P/6351/2020 décision sera laissé à la charge de l’état, pour tenir adéquatement compte du fait que l’appel a été partiellement accueilli.</w:t>
      </w:r>
    </w:p>
    <w:p>
      <w:r>
        <w:rPr>
          <w:b/>
        </w:rPr>
        <w:t>E. 7</w:t>
      </w:r>
    </w:p>
    <w:p>
      <w:r>
        <w:t>Considéré globalement, l'état de frais produit par Me B______, défenseur d'office de l'appelant, satisfait les exigences légales et jurisprudentielles régissant l'assistance judiciaire gratuite en matière pénale.</w:t>
      </w:r>
    </w:p>
    <w:p>
      <w:r>
        <w:t>Sa rémunération sera partant arrêtée à CHF 1'822.30 correspondant à huit heures et vingt-sept minutes d'activité au tarif de CHF 200.-/heure plus la majoration forfaitaire de 20% et l'équivalent de la TVA aux taux de 7.7% en CHF 130.30.</w:t>
      </w:r>
    </w:p>
    <w:p>
      <w:r>
        <w:t>* * * * *</w:t>
      </w:r>
    </w:p>
    <w:p>
      <w:r>
        <w:t>- 8/10 - P/6351/2020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