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AARP/414/2015 vom 28. September 2015</w:t>
      </w:r>
    </w:p>
    <w:p>
      <w:r>
        <w:t>GE Cour de justice, 2015-09-28, FR</w:t>
      </w:r>
    </w:p>
    <w:p>
      <w:r>
        <w:rPr>
          <w:b/>
        </w:rPr>
        <w:t xml:space="preserve">Quelle: </w:t>
      </w:r>
      <w:r>
        <w:t>https://mcp.opencaselaw.ch/entscheid/ge_gerichte_AARP_414_2015</w:t>
      </w:r>
    </w:p>
    <w:p>
      <w:r>
        <w:t>FR: GE_GERICHTE AARP/414/2015 du 28 septembre 2015</w:t>
      </w:r>
    </w:p>
    <w:p>
      <w:r>
        <w:t>IT: GE_GERICHTE AARP/414/2015 del 28 settembre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Aux termes de l'art. 5 al. 3 de la Constitution fédérale de la Confédération suisse du 18 avril 1999 (Cst. - RS 101),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(ATF 138 I 49 consid. 8.3.1 p. 53 et les arrêts cités). Contrevient notamment au principe de la bonne foi, celui qui soulève pour la première fois un grief lié à la conduite de la procédure devant le Tribunal fédéral alors que celui-ci ne l'avait pas invoqué devant l'autorité de dernière instance cantonale. (ATF 135 I 91 consid. 2.1 p .93)</w:t>
      </w:r>
    </w:p>
    <w:p>
      <w:r>
        <w:rPr>
          <w:b/>
        </w:rPr>
        <w:t>E. 2.1</w:t>
      </w:r>
    </w:p>
    <w:p>
      <w:r>
        <w:t>Le principe de la bonne foi est également consacré à l'art. 3 du code de procédure pénale suisse du 5 octobre 2007 (CPP - RS 312.0) qui garantit les principes du respect de la dignité et du procès équitable. Cette disposition prévoit notamment que les autorités pénales se conforment au principe de la bonne foi et de l'interdiction de l'abus de droit (al. 2 let. a et b). Selon le principe constitutionnel garanti à l'art. 5 al. 3 Cst., toute autorité doit s'abstenir de procédés déloyaux et de comportements contradictoires (arrêt du Tribunal fédéral 1B_640/2012 du 13 novembre 2012 consid. 3.1 et les arrêts cités). À certaines conditions, le citoyen peut ainsi exiger de l'autorité qu'elle se conforme aux promesses ou assurances précises qu'elle lui a faites et ne trompe pas la confiance qu'il a légitimement placée dans ces dernières (ATF 128 II 112 consid. 10b/aa p. 125 ; 118 Ib 580 consid. 5a p. 582). De la même façon, le droit à la protection de la bonne foi peut aussi être invoqué en présence, simplement, d'un comportement de l'administration susceptible d'éveiller chez l'administré une attente</w:t>
      </w:r>
    </w:p>
    <w:p>
      <w:r>
        <w:t>- 5/10 - P/15882/2014 ou une espérance légitime (ATF 129 II 361 consid. 7.1 p. 381 ; 126 II 377 consid. 3a p. 387 et les références citées ; ACPR/125/2014 du 6 mars 2014</w:t>
      </w:r>
    </w:p>
    <w:p>
      <w:r>
        <w:rPr>
          <w:b/>
        </w:rPr>
        <w:t>E. 2.2</w:t>
      </w:r>
    </w:p>
    <w:p>
      <w:r>
        <w:t>Selon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2.3</w:t>
      </w:r>
    </w:p>
    <w:p>
      <w:r>
        <w:t>En l'espèce, le certificat de vérification No 4______ produit avec le mémoire d'appel du Ministère public qui atteste que le radar était équipé d'un dispositif laser constitue une preuve nouvelle utile au traitement du recours puisque elle pourrait avoir une influence sur le sort du litige au sens de l'art. 389 al. 3 CPP.</w:t>
      </w:r>
    </w:p>
    <w:p>
      <w:r>
        <w:rPr>
          <w:b/>
        </w:rPr>
        <w:t>E. 2.4</w:t>
      </w:r>
    </w:p>
    <w:p>
      <w:r>
        <w:t>Il aurait appartenu au Ministère public de rechercher ce document et de le verser au dossier, d'autant plus que l'intimée avait requis cette mesure d'instruction à réitérées reprises. Il est douteux que, ayant choisi de ne pas donner suite à cette demande, le Ministère public puisse produire la preuve en appel, sans contrevenir au principe de la bonne foi, d'autant plus qu'encore dans sa déclaration d'appel il affirmait ne pas avoir de réquisition de preuve à présenter.</w:t>
      </w:r>
    </w:p>
    <w:p>
      <w:r>
        <w:rPr>
          <w:b/>
        </w:rPr>
        <w:t>E. 2.5</w:t>
      </w:r>
    </w:p>
    <w:p>
      <w:r>
        <w:t>Toutefois, la question peut rester ouverte puisqu'une recherche sur internet, notamment le site de la Confédération, permettait d'établir dès le début de la procédure que le radar ayant servi à constater l'infraction était bien un laser, étant</w:t>
      </w:r>
    </w:p>
    <w:p>
      <w:r>
        <w:t>- 6/10 - P/15882/2014 relevé que le modèle exact de l'appareil était indiqué dans le procès-verbal de mesures de vitesse, lequel mentionnait le numéro METAS.</w:t>
      </w:r>
    </w:p>
    <w:p>
      <w:r>
        <w:rPr>
          <w:b/>
        </w:rPr>
        <w:t>E. 3</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w:t>
      </w:r>
    </w:p>
    <w:p>
      <w:r>
        <w:rPr>
          <w:b/>
        </w:rPr>
        <w:t>E. 3.1</w:t>
      </w:r>
    </w:p>
    <w:p>
      <w:r>
        <w:t>Selon l'art. 90 al. 2 LCR celui qui, par une violation grave d'une règle de la circulation, crée un sérieux danger pour la sécurité d'autrui ou en prend le risque est puni d'une peine privative de liberté de trois ans au plus ou d'une peine pécuniaire.</w:t>
      </w:r>
    </w:p>
    <w:p>
      <w:r>
        <w:rPr>
          <w:b/>
        </w:rPr>
        <w:t>E. 3.2</w:t>
      </w:r>
    </w:p>
    <w:p>
      <w:r>
        <w:t>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Selon l'art. 90 al. 4 let. b LCR cette disposition est toujours applicable lorsque la vitesse maximale autorisée a été dépassée d'au moins 50 km/h, là où la limite était fixée à 50 km/h.</w:t>
      </w:r>
    </w:p>
    <w:p>
      <w:r>
        <w:rPr>
          <w:b/>
        </w:rPr>
        <w:t>E. 3.3</w:t>
      </w:r>
    </w:p>
    <w:p>
      <w:r>
        <w:t>Selon la jurisprudence, le cas est objectivement grave, c'est-à-dire sans égard aux circonstances concrètes, en cas de dépassement de la vitesse autorisée de 25 km/h ou plus à l'intérieur des localités, de 30 km/h ou plus hors des localités et sur les semi- autoroutes dont les chaussées, dans les deux directions, ne sont pas séparées et de 35 km/h ou plus sur les autoroutes (ATF 132 II 234 consid. 3.1 p. 237 ss ; 124 II 259 consid. 2b p. 261 ss ; arrêts du Tribunal fédéral 6B_865/2014 du 2 avril 2015 consid. 1.5.1 et 6B_1011/2013 du 13 mars 2014 consid. 2.1).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(arrêts du Tribunal fédéral 6B_1011/2013 précité et 6B_571/2012 du 8 avril 2013 consid. 3.4).</w:t>
      </w:r>
    </w:p>
    <w:p>
      <w:r>
        <w:t>- 7/10 - P/15882/2014</w:t>
      </w:r>
    </w:p>
    <w:p>
      <w:r>
        <w:rPr>
          <w:b/>
        </w:rPr>
        <w:t>E. 3.4</w:t>
      </w:r>
    </w:p>
    <w:p>
      <w:r>
        <w:t>Selon l'art. 106 ch.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sur le contrôle de la circulation routière du 28 mars 2007 (OCCR ; RS 741.013). Conformément à l'art. 9 al. 2 OCCR,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w:t>
      </w:r>
    </w:p>
    <w:p>
      <w:r>
        <w:t>Cet office a édicté, le 22 mai 2008, une Ordonnance (OOCCR-OFROU ; RS 741.013.1), ainsi que, en accord avec l'Office fédéral de métrologie (METAS), des instructions concernant les contrôles de vitesse par la police et la surveillance de la circulation aux feux rouges. Selon l'art. 8 al. 1 let. a et d de ladite ordonnance, les valeurs devant être déduites de la vitesse mesurée sont pour une valeur mesurée inférieure ou égale à 100 km/h de:</w:t>
      </w:r>
    </w:p>
    <w:p>
      <w:r>
        <w:t>- 3 km/h en cas de mesures par laser (art 8 al. 1 let. a ch. 1 OFROU).</w:t>
      </w:r>
    </w:p>
    <w:p>
      <w:r>
        <w:t>- 7 km/h en cas de mesures par radar mobile (art 8 al. 1 let. d ch. 1 OFROU).</w:t>
      </w:r>
    </w:p>
    <w:p>
      <w:r>
        <w:rPr>
          <w:b/>
        </w:rPr>
        <w:t>E. 3.5</w:t>
      </w:r>
    </w:p>
    <w:p>
      <w:r>
        <w:t>Le radar utilisé étant un laser, c'est à tort que le premier juge a déduit une marge de sécurité de 7km/h. Partant, la vitesse retenue après déduction de la marge de 3km/h applicable au radar laser est donc de 90 km/h sur un tronçon ou elle est limitée à 40 km/h, soit un dépassement de 50 km/h.</w:t>
      </w:r>
    </w:p>
    <w:p>
      <w:r>
        <w:rPr>
          <w:b/>
        </w:rPr>
        <w:t>E. 3.6</w:t>
      </w:r>
    </w:p>
    <w:p>
      <w:r>
        <w:t>L'intimée ne saurait être suivie lorsqu'elle soutient qu'un doute subsisterait, lequel devrait lui profiter, relatif au bon fonctionnement du radar le jour des faits. L'appareil avait en effet été vérifié peu auparavant et aucun élément du dossier ne laisse supposer une quelconque détérioration. L'intimée n'avance d'ailleurs pas d'élément concret à l'appui.</w:t>
      </w:r>
    </w:p>
    <w:p>
      <w:r>
        <w:rPr>
          <w:b/>
        </w:rPr>
        <w:t>E. 3.7</w:t>
      </w:r>
    </w:p>
    <w:p>
      <w:r>
        <w:t>L'appel du Ministère public doit donc être admis et le jugement entrepris annulé.</w:t>
      </w:r>
    </w:p>
    <w:p>
      <w:r>
        <w:rPr>
          <w:b/>
        </w:rPr>
        <w:t>E. 4</w:t>
      </w:r>
    </w:p>
    <w:p>
      <w:r>
        <w:t>Selon l'art. 90 al. 3 LCR, une violation des règles fondamentales de la circulation entraîne le prononcé d'une peine privative de liberté d'un an au moins. L'intimée ne peut prétendre au bénéfice d'une circonstance atténuante, et ne le soutient d'ailleurs pas. Pour sa part, le Ministère public ne requiert pas une peine supérieure au minimum légal. C'est donc cette peine – laquelle paraît en tout état adéquate au regard de la gravité de la faute et de l'ensemble des circonstances – qui</w:t>
      </w:r>
    </w:p>
    <w:p>
      <w:r>
        <w:t>- 8/10 - P/15882/2014 s'impose, le pouvoir de cognition de la juridiction d'appel étant limité par les conclusions de l'appelant. Le bénéfice du sursis est acquis à l'intimée.</w:t>
      </w:r>
    </w:p>
    <w:p>
      <w:r>
        <w:rPr>
          <w:b/>
        </w:rPr>
        <w:t>E. 5</w:t>
      </w:r>
    </w:p>
    <w:p>
      <w:r>
        <w:t>Vu l'issue de la procédure, l'intimée ne peut prétendre à aucune indemnité au sens des art. 429 et 436 CPP.</w:t>
      </w:r>
    </w:p>
    <w:p>
      <w:r>
        <w:rPr>
          <w:b/>
        </w:rPr>
        <w:t>E. 5.1</w:t>
      </w:r>
    </w:p>
    <w:p>
      <w:r>
        <w:t>Pour les mêmes motifs, l'intimée doit supporter les frais de la procédure préliminaire et de première instance, par CHF 559.-.</w:t>
      </w:r>
    </w:p>
    <w:p>
      <w:r>
        <w:rPr>
          <w:b/>
        </w:rPr>
        <w:t>E. 5.2</w:t>
      </w:r>
    </w:p>
    <w:p>
      <w:r>
        <w:t>La Cour dérogera en revanche exceptionnellement au principe découlant de l'art. 428 al. 1 CPP et laissera les frais de la procédure d'appel à la charge de l'Etat pour tenir compte de ce qu'il aurait appartenu au Ministère public, subsidiairement au Tribunal de police, d'instruire la question soulevée par la défense, ce qui aurait permis d'éviter l'appel du premier. * * * * *</w:t>
      </w:r>
    </w:p>
    <w:p>
      <w:r>
        <w:t>- 9/10 - P/15882/2014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