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AARP/412/2023 vom 21. November 2023</w:t>
      </w:r>
    </w:p>
    <w:p>
      <w:r>
        <w:t>GE Cour de justice, 2023-11-21, FR</w:t>
      </w:r>
    </w:p>
    <w:p>
      <w:r>
        <w:rPr>
          <w:b/>
        </w:rPr>
        <w:t xml:space="preserve">Quelle: </w:t>
      </w:r>
      <w:r>
        <w:t>https://mcp.opencaselaw.ch/entscheid/ge_gerichte_AARP_412_2023</w:t>
      </w:r>
    </w:p>
    <w:p>
      <w:r>
        <w:t>FR: GE_GERICHTE AARP/412/2023 du 21 novembre 2023</w:t>
      </w:r>
    </w:p>
    <w:p>
      <w:r>
        <w:t>IT: GE_GERICHTE AARP/412/2023 del 21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3 al. 1 CP, le Code pénal est applicable à quiconque commet un crime ou un délit en Suisse. Un crime ou un délit est réputé commis tant au lieu où l'auteur a agi ou aurait dû agir qu'au lieu où le résultat s'est produit (art. 8 al. 1 CP). Les délits contre l'honneur ne sont pas des infractions de lésions ou de résultat mais sont considérés comme de simples délits formels (SJ 2005 I 461 consid. 3.6 ; B. CORBOZ, Les infractions en droit suisse, Vol. II, 3ème éd., n. 46 ad art. 173). Il convient toutefois de relativiser la portée de la classification typologique des infractions et d'admettre un rattachement territorial fondé sur le lieu de survenance du résultat également en matière de délits formels et de délits de mise en danger abstraite. Il suffit que, selon l'idée de l'auteur, le résultat dût se réaliser en Suisse (ATF 141 IV 336 consid. 1.2). En cas de propos attentatoires à l'honneur tenus à l'étranger par voie d'internet, l'auteur des propos ne sera punissable en Suisse que dans la mesure où il a agi en sachant qu'il serait lu par le public suisse ou par une catégorie de personnes en faisant partie, tout en le voulant ; à cet égard, le caractère ciblé du public auquel s'adresse l'écrit diffamant est déterminant (SJ 2005 I 461 consid. 3.8). 2.1.2. La procédure ne permet pas de déterminer où C______ a rédigé l'article incriminé. S'il l'a rédigé en Suisse, le Code pénal est assurément applicable. À supposer qu'il l'ait rédigé en France, l'intimé savait qu'il serait lu en Suisse, vu la nature du sujet abordé : commandé par le Conseil d'État, le rapport visait le DIP, son fonctionnement, l'un de ses anciens enseignants en particulier, soit l'appelant, citoyen suisse alors domicilié à Genève, de sorte que l'article était davantage susceptible d'intéresser le lecteur genevois que le lecteur français. Il faudrait donc admettre que le complexe de faits à juger doive être rattaché à la Suisse. Les parties, la défense en particulier, ne contestent au demeurant pas la compétence de la Cour de céans. 2.2.1. Pour les délits contre l’honneur, l’action pénale se prescrit par quatre ans (art. 178 al. 1 CP). La prescription ne court plus si, avant son échéance, un jugement de première instance a été rendu (art. 97 al. 3 CP). Sont des jugements de première instance, au-delà desquels la prescription ne court plus, non seulement les prononcés de condamnation, mais également ceux d'acquittement – il n'y a pas de raison objective de s'écarter du texte clair de la loi (ATF 139 IV 62 consid. 1.5.9).</w:t>
      </w:r>
    </w:p>
    <w:p>
      <w:r>
        <w:t>- 20/39 - P/5494/2019 2.2.2. Les faits poursuivis datent du 26 novembre 2018. Le jugement du TP a été rendu le 1er novembre 2022. La prescription ne court donc plus depuis cette date. Il n'existe, partant, pas d'empêchement de procéder. Ce point n'est pas davantage discuté par les parties. 2.3.1.1.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2.3.1.2. À teneur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peut atténuer la peine ou renoncer à prononcer une peine (ch. 4). Si l’auteur ne fait pas la preuve de la vérité de ses allégations ou si elles sont contraires à la vérité ou si l’auteur les rétracte, le juge le constate dans le jugement ou dans un autre acte écrit (ch. 5). 2.3.1.3. L'art. 173 ch. 1 CP protège la réputation d'être une personne honorable, c'est- 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w:t>
      </w:r>
    </w:p>
    <w:p>
      <w:r>
        <w:t>- 21/39 - P/5494/2019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du Tribunal fédéral 6S_862/2000 du 20 mars 2001 consid. 1a). Aussi la jurisprudence a-t-elle admis le caractère diffamatoire d'un intertitre faisant état d'une escroquerie à l'assurance, quand bien même il ressortait de l'article qu'aucune condamnation de ce chef n'avait encore été prononcée (ATF 137 IV 313 consid. 2.1.3 ; 116 IV 31 consid. 5b). Du point de vue subjectif, l'art. 173 ch. 1 CP exige que l'auteur ait eu conscience du caractère attentatoire à l'honneur de ses propos et qu'il les a néanmoins proférés (ATF 137 IV 313 consid. 2.1.6). 2.3.1.4.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2.3.1.5. Selon la jurisprudence relative à l'art. 173 ch. 2 CP, l'accusé qui a allégué la commission d'une infraction doit en principe apporter la preuve de la vérité par la condamnation pénale de la personne visée. Une exception est admise dans un cas où la poursuite pénale n'est plus possible en raison de la prescription ; dans ce cas, l'accusé doit être autorisé à apporter la preuve de la vérité ou celle de sa bonne foi par d'autres moyens (ATF 132 IV 112 consid. 4.3).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w:t>
      </w:r>
    </w:p>
    <w:p>
      <w:r>
        <w:t>- 22/39 - P/5494/2019 et la considérer comme établie.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(ATF 116 IV 205 consid. 3 et 3b). L'accusé ne saurait se fier aveuglément aux déclarations d'un tiers.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Comme pour la preuve de la vérité, l'auteur supporte, s'agissant de la preuve de la bonne foi, le fardeau de la preuve, la charge de la preuve et le risque de la preuve (A. MACALUSO / L. MOREILLON / N. QUELOZ, Commentaire romand, Code pénal II, Bâle 2017, n. 40 ad art. 173). 2.3.1.6. Lorsqu’une infraction a été commise et consommée sous forme de publication par un média, l’auteur est seul punissable (art. 28 al. 1 CP). Exception faite du régime particulier découlant de l'art. 28a CP (protection des sources), le journaliste ne bénéficie d'aucun privilège en cas d'atteinte à l'honneur par voie de presse (ATF 137 IV 313 consid. 2.1.5). La publication est de nature à accroître le préjudice et implique en principe un devoir étendu de vérification. Si la communication de presse répond à un intérêt public et s'il y a urgence, on peut se montrer moins sévère en tenant compte des conditions dans lesquelles la presse d'information doit travailler, mais on doit aussi, d'un autre côté, apprécier la gravité de l'atteinte, notamment en raison de sa large diffusion. S'il n'est pas possible d'appuyer un soupçon ou une affirmation sur des bases suffisantes, il faut s'abstenir (B. CORBOZ, op. cit., n. 80 et 86 ad art. 173). L'auteur d'un écrit est notamment celui qui le conçoit et le rédige lui-même ou le fait rédiger par un tiers ou encore le transmet à la presse pour publication comme étant l'expression de sa pensée. Si l'écrit est le fruit d'une collaboration entre plusieurs auteurs, ils seront tous poursuivis (ATF 128 IV 53 consid. 5e). Les règles de droit commun de la participation s’appliquent, ce qui est notamment le cas si plusieurs auteurs signent un article délictueux ; lorsque des intervenants spécifiques aux médias excèdent les bornes de leur fonction habituelle, ils seront considérés comme auteurs principaux, coauteurs, complices ou instigateurs (L. MOREILLON / A. MACALUSO / N. QUELOZ / N. DONGOIS, Commentaire romand, Code pénal I, art. 1-110 CP, 2ème éd., Bâle 2021, n. 25 ad art. 28).</w:t>
      </w:r>
    </w:p>
    <w:p>
      <w:r>
        <w:t>- 23/39 - P/5494/2019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2.3.1.7. L'art. 174 ch. 1 CP dispose :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Le calomniateur est puni d’une peine privative de liberté d’un mois à trois ans ou d’une peine pécuniaire de 30 jours-amende au moins s’il cherche de propos délibéré à ruiner la réputation de sa victime (ch. 2).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 676/2017 du 15 décembre 2017 consid. 3.1). Il ne suffit dès lors pas que l'auteur ait cru que ses allégations étaient peut-être fausses (A. MACALUSO / L. MOREILLON / N. QUELOZ, Commentaire romand, Code pénal II, Bâle 2017, n. 11 ad art. 174). Le fait que l'auteur sait être faux est le fait attentatoire à l'honneur, c'est-à-dire la conduite contraire à l'honneur (B. CORBOZ, op. cit., n. 12 et 12 ad art. 174).</w:t>
      </w:r>
    </w:p>
    <w:p>
      <w:r>
        <w:t>- 24/39 - P/5494/2019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La preuve de l'élément subjectif spécifique (la connaissance de la fausseté de l'allégation) incombe à l'accusation (arrêt du Tribunal fédéral 6B_506/2010 du 21 octobre 2010, consid. 3.1.2 et 3.1.3). Si la connaissance de la fausseté ne peut pas être prouvée, il faut examiner s'il y a lieu de retenir la diffamation (B. CORBOZ, op. cit., n. 14 ad art. 174). 2.3.1.8. L'art. 176 CP précise qu'à la diffamation et à la calomnie verbales sont assimilées la diffamation et la calomnie par l’écriture, l’image, le geste, ou par tout autre moyen. 2.3.2.1. Les passages incriminés figurant dans l'acte d'accusation seront repris ici dans l'ordre. La procédure tend à établir que le titre "Le gouvernement genevois confirme les accusations portées contre A______" n'est pas le fait de l'intimé. Celui-ci s'est montré constant dans ses déclarations, en alléguant que tant le titre que le sous-titre de son article avaient été rédigés par un secrétaire de rédaction. Certes l'intimé est dans l'incapacité de nommer celui-ci, ce qui affaiblit quelque peu son propos. Mais son assertion ne peut être écartée pour autant ; un doute insurmontable subsiste quant à cet élément factuel (art. 10 al. 3 CPP). Seul le secrétaire de rédaction en question, auteur au sens de l'art. 28 al. 1 CP, est donc susceptible d'être punissable. Et à suivre l'intimé, on ne l'aurait pas consulté à ce sujet. Aussi, faute de concertation, de décision commune, la coactivité ne saurait-elle être retenue – elle n'est d'ailleurs pas plaidée. Ce d'autant moins que l'intimé ne s'est pas associé à cette phrase, semble-t-il, contrairement à ce que soutient la partie plaignante, C______ ayant expliqué, en effet, que le contenu du titre n'était pas totalement exact puisqu'il aurait fallu préciser que c'était le rapport commandé par le Conseil d'État, et non le gouvernement lui- même, qui confirmait les accusations litigieuses. Par conséquent, l'intimé sera acquitté de ce chef. Le sous-titre est, lui aussi, l'œuvre du secrétaire de rédaction, si l'on en croit l'intimé. À la différence du titre, l'intimé le fait sien ; il s'y associe, précisant qu'il s'agit d'une phrase tirée de son article, ce qui est le cas, en effet, à peu de choses près. Le même raisonnement doit prévaloir toutefois : seul le secrétaire de rédaction, auteur au sens de l'art. 28 al. 1 CP, est punissable. Or faute de preuve de concertation ou de décision commune, la coactivité ne peut être retenue. Par conséquent, l'intimé sera acquitté de ce chef également.</w:t>
      </w:r>
    </w:p>
    <w:p>
      <w:r>
        <w:t>- 25/39 - P/5494/2019 L'intimé est bien l'auteur des propos figurant sous tirets trois, quatre et cinq de l'acte d'accusation pour le surplus. Il l'admet. En écrivant, dans [le journal] E______, le ______ 2018, "On peut lire que A______ « aurait tenté de séduire sans succès l'une de ses élèves âgées de 14 ans et serait parvenu à entretenir des relations sexuelles avec certaines de ses élèves, âgées de 15 à 18 ans »", "« L'emprise psychologique et les menaces de l'homme charismatique reviennent également dans les différentes auditions », constate le rapport", "Quant à F______, ministre de l'Instruction publique à l'époque, elle reconnaît avoir menti à la presse en évoquant de « simples rumeurs ». En fait, elle aurait bien été informée que A______ entretenait des relations intimes avec certaines de ses élèves. Notamment par une enseignante à la retraite et « féministe »", l'intimé s'est adressé, par l'écriture, à des tiers, en l'occurrence à ses lecteurs, qui en ont pris connaissance. En leur communiquant, au sujet de l'appelant, reconnaissable pour avoir été désigné nommément, que celui-ci aurait cherché à séduire une élève de 14 ans, qu'il entretenait des relations sexuelles avec des élèves de 15 à 18 ans et qu'il recourait à l'emprise et à la menace, ce dont la ministre de tutelle de l'époque avait connaissance pour en avoir été informée et avait donc menti, l'intimé a exposé A______ au mépris en sa qualité d'enseignant et d'être humain. De tels propos sont propres à porter atteinte à la considération. Ils reviennent à reprocher à l'appelant d'avoir commis des actes pénalement répréhensibles (art. 187 CP (actes d'ordre sexuel avec des enfants), 188 CP (actes d'ordre sexuel avec des personnes dépendantes (rapports d'éducation)), voire, sous l'angle de l'emprise et de la menace, 189 CP (contrainte sexuelle) et 190 CP (viol). L'intimé ne conteste au demeurant pas le caractère attentatoire à l'honneur de ses propos. Il convient de déterminer si les faits sur lesquels portent l'atteinte à l'honneur sont faux – l'intimé est poursuivi principalement pour calomnie. Il n'est pas établi que l'appelant ait entretenu des relations sexuelles avec trois (autres) élèves de 15 à 18 ans. Etant relevé que, par "relations sexuelles", il faut entendre l'acte sexuel et que, par "âgées de 15 à 18 ans", il faut entendre pour certaines mineures – la majorité est fixée à 18 ans révolus (art. 14 CC). Lorsqu'il prête à ces termes une autre signification, l'intimé, soit en réalité son conseil, joue sur les mots. À cet égard, la délation de l'élève V______, à laquelle se réfère l'intimé ("A______ a eu des attouchements et des propositions à connotation sexuelle avec au moins trois de ses élèves mineures du CO"), est sujette à caution car cette élève, hormis une main sur sa propre cuisse, ne fait que répéter, vraisemblablement, des événements qu'on lui a rapportés ; surtout, l'élève V______ ne fait pas état de relations sexuelles avec les trois élèves en question. Par ailleurs, tant l'élève V______ que l'élève W______, mineures au moment des faits, ont assuré n'avoir jamais entretenu de relations sexuelles avec l'appelant. Il faut donc retenir que l'allégation de l'intimé, attentatoire à l'honneur, est fausse.</w:t>
      </w:r>
    </w:p>
    <w:p>
      <w:r>
        <w:t>- 26/39 - P/5494/2019 De même, si une "emprise psychologique" peut être prêtée à "l'homme charismatique", d'après les personnes entendues par J______, puis par les experts mandatés par l'État, de sorte que les propos de l'intimé n'apparaissent pas faux sur ce point, le fait que A______ se serait livré à des "menaces" n'est pas établi. En mettant en avant, par la voix de son conseil il est vrai, que l'appelant aurait fait comprendre au "petit-ami" (Z) qu'il aurait des problèmes s'il parlait et l'aurait donc menacé, l'intimé joue sur les mots une fois de plus. On sait ce que l'intimé entendait par "menaces" : il insinuait que A______ y recourait pour amener ses élèves à céder à ses avances. Or ces menaces-là ne sont absolument pas étayées par le dossier, ce qui tend à démontrer, partant, qu'elles sont fausses. Enfin, l'allégation selon laquelle F______, bien qu'informée que A______ entretenait des relations intimes avec ses élèves, aurait menti à ce sujet, ce qu'elle aurait admis, est fausse également, ce fait ne ressortant nullement du dossier, des conclusions du rapport en particulier. À cet égard, contrairement à ce que soutient l'intimé, si une telle allégation écorne sans doute F______, c'est A______ qu'elle accable, lequel se voit reprocher, par ce biais, une conduite contraire à l'honneur, soit celle d'avoir entretenu des relations intimes avec ses élèves. Les éléments constitutifs objectifs de l'art. 174 CP sont par conséquent réunis. Subjectivement, l'intimé a, sinon voulu, accepté à tout le moins de tenir à l'attention de ses lecteurs des propos de nature à susciter le mépris à l'endroit de A______. Il a donc agi intentionnellement, le dol éventuel suffit (art. 12 al. 2 CP). Il reste cependant à déterminer s'il savait que ses allégations étaient fausses. En 2017, dans le cadre de l'enquête journalistique de J______, des "révélations" ont eu lieu dans la presse. Des jeunes femmes, mineures et majeures, interviewées, s'y sont exprimées en expliquant, pour les deux anciennes mineures, avoir eu des "relations intimes", respectivement, pour les deux anciennes majeures, des "relations sexuelles", avec A______. Elles ont fourni des détails. À la même époque, d'autres médias s'en sont fait l'écho, en des termes plus ou moins similaires : "Un nouveau témoignage dénonce l'ascendant psychologique exercé par l'enseignant sur ses élèves au Collège de L______. Cette femme est ressortie brisée de quatre ans de relation" ; "A______ couchait avec mon amie. Je l'avais dénoncé à la direction de l'école" ; "A______ accusé d'avoir eu des relations sexuelles avec des élèves mineures". [Le journal] I______ titrait encore, toujours en novembre 2017, dans des articles postérieurs à celui de J______ : "La direction du Collège avait été alertée" ; "Un comité est lancé pour soutenir les anciennes élèves abusées". Sans doute l'intimé a-t-il eu connaissance de ces articles – il les a produits. Le rapport commandé par le Conseil d'État transcrit, quant à lui, le témoignage de quatre anciennes élèves, les mêmes élèves, vraisemblablement, que celles rencontrées par J______, lesquelles tiennent le même discours et lancent en substance les mêmes accusations que celles</w:t>
      </w:r>
    </w:p>
    <w:p>
      <w:r>
        <w:t>- 27/39 - P/5494/2019 lancées précédemment contre A______. S'en est suivi l'article de AD______, qui contient les mêmes phrases que celles, incriminées, que reprendra C______ dans son propre article. Il semble délicat, dans ces conditions, de retenir que l'intimé aurait connu la fausseté des propos poursuivis. Certes, dans la mise en forme de son article, il a fait mine de se référer au rapport, non seulement par l'ajout des mots "on peut lire" et "constate le rapport", mais encore par l'usage impropre des guillemets. Il savait donc qu'il reportait dans son article des phrases fausses d'un point de vue formel. Mais c'est le fait attentatoire à l'honneur que l'auteur doit savoir être faux. Or il n'est pas (encore) établi que l'intimé ait su que les propos étaient faux quant à leur contenu, c'est-à-dire au fond. Il s'en défend. Certains avaient rédigé des textes au contenu similaire avant lui – il en avait pris connaissance. D'autres le feront après lui. Il a certes admis avoir "peut-être exagéré" s'agissant du volet F______. Mais il ne suffirait pas qu'il ait cru que ses allégations puissent peut-être être fausses. Quoi qu'il en soit, le fait que le prévenu aurait eu une connaissance stricte de la fausseté des faits attentatoires à l'honneur qu'il énonce n'est pas rapportée. Il subsiste un doute, l'accusation échouant ainsi dans la preuve qui lui incombe. On ne saurait retenir que l'intimé aurait été indirectement financé par un État étranger dans le but délibéré de ruiner la réputation de l'appelant. Il le conteste. Cette accusation, en mains du MPC, doit au demeurant être instruite par cette autorité. La CPAR ne peut donc en inférer quoi que ce soit en l'état. L'un des éléments subjectifs de l'art. 174 ch. 1 CP n'étant pas réalisé, le prévenu ne peut être reconnu coupable de ce chef. 2.3.2.2. Il faut examiner s'il y a lieu de retenir la diffamation. Comme relevé supra, les propos litigieux sont attentatoires à l'honneur. Les conditions d'application de l'art. 173 ch. 1 CP sont donc réunies. L'intimé doit être admis à la preuve libératoire. Le rapport commandé par le Conseil d'État genevois était d'importance. Il s'agissait de déterminer si le DIP avait, face à des allégations d'atteinte à l'intégrité sexuelle de la part d'élèves, réagi correctement ou dysfonctionné. Des députés du Grand Conseil genevois s'en étaient inquiétés. Le rapport était donc attendu, par la presse en particulier ; ce d'autant plus que des affaires impliquant l'appelant, personnage public et médiatisé, étaient susceptibles d'apparaître au grand jour. Les experts invitaient en outre le Conseil d'État à rendre leur rapport public. Il existait donc un motif suffisant, relevant de l'intérêt public, pour l'intimé, de rédiger un article à ce sujet, sur la personne de A______ en particulier.</w:t>
      </w:r>
    </w:p>
    <w:p>
      <w:r>
        <w:t>- 28/39 - P/5494/2019 Il n'y a pas lieu, partant, à l'aune de l'art. 173 ch. 3 CP, de déterminer si C______ a agi principalement dans le but de dire du mal de l'appelant. Cette question peut rester ouverte. Sous l'angle de l'art. 173 ch. 2 CP, C______ est dans l'impossibilité d'apporter la preuve, qui lui incombe, de la vérité. D'abord, ses allégations attentatoires à l'honneur sont pour l'essentiel fausses, comme relevé ci-dessus (cf. 2.3.2.1). Le rapport ne conclut pas que l'appelant aurait séduit sans succès une jeune fille de 14 ans, entretenu des relations sexuelles avec des élèves âgées de 15 à 18 ans, non sans les avoir menacées, et que F______, dans la confidence, aurait admis avoir menti à ce sujet. Ce n'est pas là la conclusion des experts. L'intimé lui-même concède que le rapport est "édulcoré". Il admet que ce sont des "soupçons" de relations sexuelles que l'enquête vient confirmer. À juste titre puisque le rapport n'établit nullement une quelconque vérité quant à ces faits. Les experts incitent d'ailleurs à la prudence, compte tenu du temps écoulé. Ensuite, l'intimé ne fait pas la preuve de ce qu'il avance par la condamnation pénale de A______. Et pour cause : non seulement aucune procédure judiciaire n'a été introduite contre celui-ci des chefs d'infractions aux art. 187 ss CP, mais encore aucune procédure judiciaire ne le sera jamais, puisque les conditions à l'ouverture d'une action publique ne sont plus données, pour cause de prescription. À cet égard, les auditions des anciennes élèves ne sont pas conformes au CPP (cf. art. 181 CPP) ; et l'appelant, qui conteste les accusations portées contre lui, n'a pas pu être entendu et faire valoir ses droits dans le cadre d'une procédure formelle (cf. art. 157 ss CPP). Dans ces conditions, il faut retenir que l'intimé échoue dans la preuve de la vérité. Sous l'angle de la preuve de la bonne foi, il faut relever ce qui suit. Compte tenu de l'enquête journalistique de J______, cristallisée par l'article du ______ novembre 2017, auquel ont immédiatement fait suite d'autres articles du même acabit, puis, plus tard, celui de AD______, on ne saurait retenir que les propos attentatoires à l'honneur tenus par C______ n'auraient pas eu de point d'ancrage. Ses allégations ne sortent pas de nulle part. La presse abordait le sujet depuis de nombreux mois. Il parait juste, dans ces circonstances, de concéder à l'intimé une certaine bonne foi. Certes, une soixantaine d'articles de même contenu viendront s'ajouter à celui de l'intimé, tout comme les propos du président du Conseil d'État semble-t-il, mais ces derniers ne sont d'aucun secours à l'intimé car il n'en avait pas connaissance en rédigeant son sujet, le ______ 2018. Encore faut-il que l'intimé établisse qu'il avait des raisons sérieuses de croire à ce qu'il affirmait, la (seule) bonne foi ne suffisant pas. On ignore si le prévenu est véritablement entré en possession du rapport des experts et, partant, s'il en a pris connaissance avant qu'il ne rédige son article. Certes, il le</w:t>
      </w:r>
    </w:p>
    <w:p>
      <w:r>
        <w:t>- 29/39 - P/5494/2019 prétend, aux débats d'appel encore. Mais ses propos sont ambigus. L'intimé laisse entendre, répète qu'il se serait fié, pour le rédiger, à des personnes "connaissant mieux" le rapport que lui, ce qui suggère que son contenu lui aurait été rapporté. Il souligne qu'il aurait dû préciser que les phrases incriminées, mises entre guillemets, étaient tirées de l'article de AD______, ce qui donne à penser que c'est de cet article dont il s'est inspiré pour rédiger le sien, non du rapport. La phrase "L'emprise psychologique et les menaces de l'homme charismatique reviennent également dans les différentes auditions" figure d'ailleurs, au mot près, dans l'article de AD______ mais n'apparait pas dans le rapport ; tout comme celle concernant F______. Enfin, le fait que l'intimé fasse état d'un rapport de plus de trente-deux pages, alors qu'il n'en compte que trente-deux, laisse songeur. Autant d'éléments qui tendent à démontrer que C______ n'est sans doute pas entré en possession du rapport, ainsi qu'il le prétend, et qu'il n'y a, partant, pas fondé son article. De deux choses l'une : Dans l'hypothèse où C______ ne serait pas entré en possession du rapport et n'en aurait donc pas pris connaissance, il ne saurait exciper de raisons sérieuses de tenir de bonne foi pour vrai ce qu'il a écrit. En effet, son article se veut être un compte- rendu du rapport en question. Dans l'hypothèse où C______ serait entré en possession du rapport et en aurait donc pris connaissance, hypothèse que l'on ne peut exclure il est vrai – il aurait rencontré un(e) journaliste la veille qui le lui aurait remis en mains propres (art. 10 al. 3 CPP) – il faudrait distinguer : À teneur du rapport, les deux élèves alors mineures font état, respectivement, d'une main posée sur la cuisse (V______) et d'embrassement avec attouchements sexuels (V), en précisant toutefois n'avoir jamais entretenu de relations sexuelles avec l'appelant. Seules les deux étudiantes alors majeures allèguent avoir entretenu des relations sexuelles avec celui-ci. Les experts relèvent, quant à eux, en conclusion, dans le respect de l'"Objectif 1" qui leur a été fixé, qu'aucune élève supposée victime n'a formulé de critique ou de plainte, à l'époque, sur le comportement de A______, que les rumeurs à ce sujet – il faut entendre par-là celles au sein du corps enseignant – ne reposent sur aucun fondement sérieux et qu'il convient de rester prudent car les souvenirs de personnes susceptibles d'apporter des renseignements sont sujets à être d'autant plus dénaturés qu'ils sont très anciens. Ainsi, si, fort du rapport, l'intimé en a déduit, pour l'avoir écrit, que A______ "aurait tenté de séduire sans succès l'une de ses élèves âgée de 14 ans" (V______), il faut retenir qu'il avait sans doute des raisons suffisantes de tenir cette allégation pour établie, puisque la jeune femme, qui l'avait allégué à l'attention de J______ une première fois, le confirmait à présent à l'attention des experts. De même, si, fort du rapport, l'intimé en a déduit que A______ avait entretenu des relations sexuelles avec une élève âgée de 18 ans, il faut retenir, là</w:t>
      </w:r>
    </w:p>
    <w:p>
      <w:r>
        <w:t>- 30/39 - P/5494/2019 aussi, qu'il pouvait sans doute avoir des raisons suffisantes de croire à ce qu'il écrivait, vu le témoignage de AA______. Le prévenu doit donc être libéré de ces chefs. Par contre, en prétendant, référence faite au rapport, que l'appelant "serait parvenu à entretenir des relations sexuelles avec [des] élèves âgées de 15 à 18 ans", c'est-à-dire notamment mineures, l'intimé s'est éloigné du rapport, les élèves V______ et W______ soutenant précisément le contraire. Cette phrase ne figurait que dans le préambule du rapport pour contextualiser la mission des experts, ce qui n'avait pu échapper à l'intimé. Mais C______ n'en est pas resté là. Il a fait précéder cette affirmation des mots "On peut lire que" et a usé de guillemets. Ce faisant, il a feint de citer le rapport. Il a laissé entendre que c'était là sa conclusion, ce qu'il fallait retenir s'agissant de A______. Un lecteur non prévenu devait induire des termes utilisés, non seulement que l'appelant avait eu des relations sexuelles avec des élèves mineures – et non qu'il se limitait à commettre sur elles des actes d'ordre sexuel – mais encore, et surtout, que c'était là la position étatique, la version officielle désormais. Les guillemets légitiment, authentifient les mots qu'ils contiennent. Or l'intimé les prête faussement aux experts. Comme relevé par la Chambre pénale de recours (CPR) dans son arrêt du 2 novembre 2021, l'intimé devait prendre en considération les interrogations qui perduraient plutôt que de créer le sentiment que ces faits correspondaient à la réalité. Il en résulte l'impossibilité de retenir l'existence de raisons sérieuses, pour l'intimé, de croire à ce qu'il affirmait. La même conclusion s'impose pour la phrase "L'emprise psychologique et les menaces de l'homme charismatique reviennent également dans les différentes auditions". Cette phrase se veut tirée du rapport, à en croire le recours aux guillemets. Or il n'en est rien. Pire, elle suggère que l'appelant se livrait à la menace pour parvenir aux relations sexuelles dénoncées, ce dont ni le rapport ni même le témoignage de l'une ou l'autre jeune femme ne fait état. Idem pour le volet F______. La citation, les guillemets sonnent comme l'aveu de celle-ci de n'avoir évoqué jusque-là que des rumeurs, alors que la vérité lui était connue : A______ entretenait des relations intimes avec ses élèves. Là non plus, le rapport de dit rien de cela. Il s'ensuit que si, comme il le prétend, C______ a fondé son article sur le rapport commandé par le Conseil d'État, il ne pouvait avoir de raisons sérieuses de croire à ce qu'il écrivait. À supposer que son article ne fût qu'une "brève", il ne pouvait s'affranchir du devoir de prudence, un travail consciencieux consistant, en effet, à lire attentivement le rapport et à le retranscrire fidèlement, sans le déformer. Ce d'autant</w:t>
      </w:r>
    </w:p>
    <w:p>
      <w:r>
        <w:t>- 31/39 - P/5494/2019 plus que l'intimé relayait des faits constitutifs d'un crime et que ses graves allégations, par la voie d'un média, allaient faire l'objet d'une large diffusion. C______ est allé trop loin. Dans l'impossibilité d'appuyer ses affirmations sur une base suffisante, il devait s'abstenir. À supposer qu'il ait d'abord eu des motifs pour communiquer ainsi, il ne disposait plus, une fois le rapport officiel en main, d'éléments suffisants pour écrire ce qu'il a écrit, de raison sérieuse de tenir ses propos pour vrais. Il échoue dans la preuve qui lui incombe. C______ sera par conséquent déclaré coupable de diffamation. 2.3.2.3. C______ n'a pas fait la preuve de la vérité de ses allégations. La CPAR doit le constater formellement. C'est chose faite ici. Il n'y a pas lieu de le constater dans le dispositif : d'abord, l'appelant n'indique pas qu'il entend obtenir un constat selon l'art. 173 ch. 5 CP, dans le dispositif en particulier ; ensuite, la constatation dans les motifs de l'arrêt suffit (ATF 80 IV 250).</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 faute de C______ n'est pas négligeable. Il s'en est pris à l'honneur de l'appelant, en lui prêtant un comportement pénalement répréhensible. Il a fait mine d'asseoir son propos sur un rapport officiel, commandé par l'État, tout en en tronquant le contenu. Ce faisant, il a trompé le lecteur, ce qui relève, au-delà de l'aspect pénal, de la faute professionnelle. Sa situation personnelle n'explique pas ses agissements. Au contraire. Il devait se conformer aux devoirs du journaliste, rapporter la vérité, dire ce qu'il en était vraiment du rapport en question, et ne pas dénaturer, ne pas travestir. Il s'obstine à contester toute responsabilité, toute faute. La prise de conscience de la gravité de ses actes fait donc défaut. Il n'exprime pas de regrets, ne présente pas d'excuses. L'intérêt à le punir a toutefois sensiblement diminué en raison du temps écoulé (les deux tiers du délai de prescription de l'action pénale sont écoulés (ATF 140 IV 145 consid. 3.1) et il s'est bien comporté dans l'intervalle, faute de nouvelle infraction) (art. 48 let. e CP), cette circonstance atténuante, bien que non plaidée, devant lui être accordée. Il n'a pas de condamnation inscrite au casier judiciaire pour le surplus.</w:t>
      </w:r>
    </w:p>
    <w:p>
      <w:r>
        <w:t>Au vu de l'ensemble des circonstances, une peine pécuniaire – seul genre de peine entrant en considération – de 90 jours-amende sera prononcée (art. 34 al. 1 CP).</w:t>
      </w:r>
    </w:p>
    <w:p>
      <w:r>
        <w:t>- 32/39 - P/5494/2019 Cette peine tient compte de la circonstance atténuante – il n'y a pas lieu d'exprimer en chiffre la portée accordée à celle-ci (arrêt du Tribunal fédéral 6B_252/2022 du 11 avril 2023 consid. 5.7). Le jour-amende sera arrêté à CHF 40.-, montant qui reflète correctement la situation personnelle et économique du condamné (art. 34 al. 2 CP). Le pronostic n'étant pas défavorable, le sursis sera accordé et un délai d'épreuve de trois ans fixé (art. 42 al. 1 et 44 al. 1 CP).</w:t>
      </w:r>
    </w:p>
    <w:p>
      <w:r>
        <w:rPr>
          <w:b/>
        </w:rPr>
        <w:t>E. 4.1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du code des obligations [CO]. La partie plaignante peut ainsi réclamer l'indemnisation de son tort moral (art. 47 et 49 CO), dans la mesure où celui-ci découle directement de la commission de l'infraction reprochée au prévenu (ATF 148 IV 432 consid. 3.1.2). La preuve du dommage incombe au demandeur (art. 42 al. 1 CO) (arrêt du Tribunal fédéral 6B_450/2022 du 29 mars 2023 consid. 3).</w:t>
      </w:r>
    </w:p>
    <w:p>
      <w:r>
        <w:t>L'art. 49 al. 1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6B_1259/2021 du 2 février 2023 consid. 3.2).</w:t>
      </w:r>
    </w:p>
    <w:p>
      <w:r>
        <w:rPr>
          <w:b/>
        </w:rPr>
        <w:t>E. 4.2</w:t>
      </w:r>
    </w:p>
    <w:p>
      <w:r>
        <w:t>Il doit être admis que l'appelant a subi une atteinte illicite à sa personnalité. Celui-ci fonde le franc symbolique qu'il réclame sur le fait que l'intimé l'a accusé à tort d'avoir eu des relations sexuelles avec des mineures, ce qui constitue un crime. Cela l'aurait atteint "dans sa dignité, dans son honneur en tant que personne, et dans sa déontologie de professeur". Cela étant, si l'atteinte présente certes une certaine gravité objective, on ignore comment l'appelant l'a ressentie subjectivement, au-delà de ce qu'il exprime. Aucune pièce médicale n'a été produite. Aucun thérapeute n'a été consulté semble-t-il ; l'allégation même d'une telle consultation fait défaut. Il n'est pas démontré, partant, que l'appelant aurait ressenti une souffrance morale suffisamment forte pour qu'une réparation à ce titre lui soit consentie. A______ sera débouté des fins de son action civile.</w:t>
      </w:r>
    </w:p>
    <w:p>
      <w:r>
        <w:rPr>
          <w:b/>
        </w:rPr>
        <w:t>E. 5.1</w:t>
      </w:r>
    </w:p>
    <w:p>
      <w:r>
        <w:t>L'intimé, qui succombe sur l'essentiel, supportera 4/5èmes des frais de la procédure d'appel envers l'État, qui comprennent un émolument de CHF 4'000.-. Le</w:t>
      </w:r>
    </w:p>
    <w:p>
      <w:r>
        <w:t>- 33/39 - P/5494/2019 solde, soit 1/5ème des frais de la procédure d'appel, seront mis à la charge de l'appelant, qui succombe en partie (art. 428 al. 1 CPP et 14 al. 1 let. e RTFMP).</w:t>
      </w:r>
    </w:p>
    <w:p>
      <w:r>
        <w:rPr>
          <w:b/>
        </w:rPr>
        <w:t>E. 5.2</w:t>
      </w:r>
    </w:p>
    <w:p>
      <w:r>
        <w:t>Compte tenu de l'issue de l'appel, les frais de la procédure préliminaire et de première instance, qui comprennent un émolument de jugement de CHF 500.-, seront mis à la charge des parties dans la même proportion que ceux d'appel, soit 4/5èmes à la charge de l'intimé et 1/5ème à la charge de l'appelant (art. 426 al. 1, 427 al. 2 et 428 al. 3 CPP ; ATF 138 IV 248, consid. 4.2.2).</w:t>
      </w:r>
    </w:p>
    <w:p>
      <w:r>
        <w:rPr>
          <w:b/>
        </w:rPr>
        <w:t>E. 6.1</w:t>
      </w:r>
    </w:p>
    <w:p>
      <w:r>
        <w:t>La question de l'indemnisation doit être tranchée après la question des frais (arrêt du Tribunal fédéral 6B_548/2018 du 18 juillet 2018 consid. 1.1.2). Dans cette mesure, la décision sur les frais préjuge de la question de l'indemnisation (ATF 137 IV 352 consid. 2.4.2).</w:t>
      </w:r>
    </w:p>
    <w:p>
      <w:r>
        <w:rPr>
          <w:b/>
        </w:rPr>
        <w:t>E. 6.2</w:t>
      </w:r>
    </w:p>
    <w:p>
      <w:r>
        <w:t>Selon les art. 429 al. 1 let. a et 433 al. 1 CPP, applicables à l’appel via le renvoi de l’art. 436 al. 1 CPP, le prévenu acquitté totalement ou en partie a droit à une indemnité pour les dépenses occasionnées par l'exercice raisonnable de ses droits de procédure, indemnité qui peut également être demandée par la partie plaignante au prévenu lorsqu'elle obtient gain de cause. Ainsi, le législateur a conçu une réglementation prévoyant une possibilité d'indemniser le prévenu acquitté. Il se déduit de l'art. 429 al. 1 let. a CPP que les frais de défense relatifs à l'aspect pénal sont en principe mis à la charge de l'État. Il s'agit d'une conséquence du principe selon lequel c'est à l'État qu'incombe la responsabilité de l'action pénale. Le législateur a cependant prévu des correctifs pour des situations dans lesquelles la procédure est menée davantage dans l'intérêt de la partie plaignante ou lorsque cette dernière en a sciemment compliqué la mise en œuvre. S'agissant d'une indemnité allouée dans une procédure d'appel, les dispositions applicables doivent être interprétées à la lumière de cette situation spécifique. Ainsi, lorsque l'appel a été formé par la seule partie plaignante, on ne saurait perdre de vue le fait qu'il n'y a alors plus aucune intervention de l'État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w:t>
      </w:r>
    </w:p>
    <w:p>
      <w:r>
        <w:rPr>
          <w:b/>
        </w:rPr>
        <w:t>E. 6.3</w:t>
      </w:r>
    </w:p>
    <w:p>
      <w:r>
        <w:t>Les indemnités fondées sur les art. 429 al. 1 let. a et 433 al. 1 CPP concernent les dépenses du prévenu/de la partie plaignante pour un avocat de choix, dont les démarches doivent apparaître nécessaires et adéquates (ATF 139 IV 102 consid. 4.3 ; 138 IV 205 consid. 1).</w:t>
      </w:r>
    </w:p>
    <w:p>
      <w:r>
        <w:t>- 34/39 - P/5494/2019 Dans l'appréciation du caractère raisonnable, les autorités pénales disposent d'un pouvoir d'appréciation considérable (ATF 142 IV 163). Le recours à plusieurs avocats peut, en cas de procédure volumineuse et complexe, procéder d'un tel exercice (ATF 138 IV 197 consid. 2.3.5 ; arrêt du Tribunal fédéral 6B_875/2013 du</w:t>
      </w:r>
    </w:p>
    <w:p>
      <w:r>
        <w:rPr>
          <w:b/>
        </w:rPr>
        <w:t>E. 6.4</w:t>
      </w:r>
    </w:p>
    <w:p>
      <w:r>
        <w:t>L'indemnité fondée sur l'art. 429 al. 1 let. a CPP pour les dépenses obligatoires occasionnées par la procédure ne produit pas d'intérêts (ATF 143 IV 495 consid. 2.2.4). 6.5.1. En l'espèce, le recours de l'appelant à plusieurs conseils ne s'imposait pas, le dossier ne présentant pas de complexité particulière, ni du point de vue de son ampleur, ni des questions juridiques qu'il soulève. La médiatisation de cette affaire ne saurait justifier, à elle seule, l'intervention de pas moins de trois conseils. Le recours à un seul mandataire était ainsi suffisant pour assurer le soutien de l'appelant, étant relevé que les plaidoiries de ses conseils, au stade de l'audience d'appel, et les arguments avancés dans le cadre de celles-ci étaient substantiellement similaires, si bien qu'il n'en ressort pas que le traitement du dossier aurait nécessité un partage des tâches entre avocats. Partant, l'activité d'un seul mandataire, sous réserve d'exceptions, sera prise en compte dans le calcul de l'indemnisation de l'appelant, soit celle du représentant principal (art. 127 al. 2 CPP), l'associé étant privilégié face au collaborateur, qui est privilégié face au stagiaire.</w:t>
      </w:r>
    </w:p>
    <w:p>
      <w:r>
        <w:t>- 35/39 - P/5494/2019 6.5.2. La préparation de l'audience au MP du 13 mars 2020, réalisée par un chef d'étude (24 minutes) et un collaborateur (30 minutes) sera indemnisée en totalité, le temps d'activité consacré à ce poste n'apparaissant pas déraisonnable. Par contre, seule la présence à l'audience du chef d'étude se justifiait au regard des motifs exposés supra, si bien que le temps consacré par le collaborateur à cet égard sera retranché de la note d'honoraires. La préparation de l'audience de première instance sera indemnisée à hauteur de trois heures et 24 minutes d'activité de chef d'étude et la durée effective de celle-ci, soit quatre heures et 15 minutes, ne le sera que pour la présence d'un seul conseil au tarif horaire de CHF 450.-. Les frais d'avocats de l'appelant s'agissant de la procédure préliminaire et de première instance s'élèvent ainsi à CHF 31'381.10, correspondant à 20 heures et trois minutes d'activité de chef d'étude au tarif horaire de CHF 450.- (CHF 9'022.50), 30 heures d'activité de collaborateur au tarif horaire de CHF 350.- (CHF 10'500.-) et 64 heures et six minutes d'activité d'avocat-stagiaire au tarif horaire de CHF 150.- (CHF 9'615.-), ainsi que la TVA au taux de 7.7% (CHF 2'243.60). Conformément à la jurisprudence, cette somme ne portera pas intérêts. L'intimé sera condamné à s'acquitter, en faveur de l'appelant, de 4/5èmes de ce montant, soit CHF 25'104.88 à titre d'indemnité au sens de l'art. 433 al. 1 CPP. 6.5.3. L'activité réalisée par le second conseil de l'appelant au stade de la procédure d'appel sera retranchée à hauteur d'une heure pour le poste "Conférences, courriels, courriers" et de huit heures et 18 minutes pour le poste "Procédure", conformément aux considérations mentionnées supra et afin de ne tenir compte que de l'activité du conseil principal de l'appelant. L'activité consacrée par le collaborateur à la préparation de l'audience, d'une durée de trois heures (estimation comprise) sera également évincée de la note d'honoraires et sa présence à l'audience d'appel ne sera pas indemnisée. Une durée d'une heure et 30 minutes d'activité (estimation non comprise) de chef d'étude sera ainsi retenue s'agissant de la préparation de l'audience, étant relevé que le conseil de l'appelant maîtrisait déjà le dossier pour avoir plaidé dans cette cause un an auparavant. La durée effective de l'audience, soit quatre heures et 10 minutes, sera indemnisée à un tarif horaire de CHF 450.-/heure pour la présence, donc, d'un unique conseil. Partant, les dépenses occasionnées par l'exercice raisonnable des droits de procédure de l'appelant au stade de l'appel s'élèvent à CHF 6'973.60, correspondant à huit heures et 28 minutes d'activité de chef d'étude au tarif horaire de CHF 450.-</w:t>
      </w:r>
    </w:p>
    <w:p>
      <w:r>
        <w:t>- 36/39 - P/5494/2019 (CHF 3'810.-), cinq heures et 24 minutes d'activité de collaborateur au tarif horaire de CHF 350.- (CHF 2'065.-) et quatre heures d'activité d'avocate-stagiaire au tarif horaire de CHF 150.- (CHF 600.-), ainsi que la TVA au taux de 7.7% (CHF 498.60). Conformément à la jurisprudence, cette somme ne portera pas intérêts. L'intimé sera condamné à s'acquitter en faveur de l'appelant de 4/5èmes de ce montant, soit CHF 5'578.88, à titre d'indemnité au sens de l'art. 433 al. 1 CPP.</w:t>
      </w:r>
    </w:p>
    <w:p>
      <w:r>
        <w:rPr>
          <w:b/>
        </w:rPr>
        <w:t>E. 6.6</w:t>
      </w:r>
    </w:p>
    <w:p>
      <w:r>
        <w:t>Les notes d'honoraires déposées par l'intimé n'appellent pas de commentaire. Ses frais de défense s'élèvent à CHF 21'498.85 pour la procédure préliminaire et de première instance et à CHF 19'392.50 (CHF 4'173.75 + CHF 8'505.- + CHF 4'838.75 + CHF 1'875.- (correspondant à la durée effective de l'audience)) pour la procédure d'appel, au tarif horaire de CHF 450.-. L'appelant sera condamné à verser le 1/5ème de chacun de ces montants à l'intimé, soit CHF 4'299.77 et CHF 3'878.50, à titre d'indemnité au sens de l'art. 432 al. 2 CPP. * * * * *</w:t>
      </w:r>
    </w:p>
    <w:p>
      <w:r>
        <w:t>- 37/39 - P/5494/2019</w:t>
      </w:r>
    </w:p>
    <w:p>
      <w:r>
        <w:rPr>
          <w:b/>
        </w:rPr>
        <w:t>E. 7</w:t>
      </w:r>
    </w:p>
    <w:p>
      <w:r>
        <w:t>avril 2014 consid. 4.3 et 4.5). Savoir si l'intervention d'un second conseil de choix peut donner droit à une indemnité se détermine, mutatis mutandis, à l'aune des mêmes principes et critères que ceux qui président à l'indemnisation des frais d'intervention d'un premier conseil. Il convient donc d'examiner dans un premier temps, en tenant compte, outre de la gravité de l'infraction et de la complexité de l'affaire en fait ou en droit, de la durée de la procédure et de son impact sur la vie personnelle et professionnelle du prévenu,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À titre d'exemple, dans l’affaire dite de la Banque cantonale de Genève, le Tribunal fédéral a retenu qu’il se justifiait d’indemniser deux avocats pour le prévenu et les parties plaignantes, dans la mesure où l’ampleur et la longueur de la procédure ont été jugées comme exceptionnelles et en raison du fait qu’au cours de celle-ci des problèmes complexes relatifs à la gestion des intérêts pécuniaires d’une banque ont été abordés (arrêt du Tribunal fédéral 6B_875/2013 du 7 avril 2014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