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AARP/411/2015 vom 28. August 2015</w:t>
      </w:r>
    </w:p>
    <w:p>
      <w:r>
        <w:t>GE Cour de justice, 2015-08-28, FR</w:t>
      </w:r>
    </w:p>
    <w:p>
      <w:r>
        <w:rPr>
          <w:b/>
        </w:rPr>
        <w:t xml:space="preserve">Quelle: </w:t>
      </w:r>
      <w:r>
        <w:t>https://mcp.opencaselaw.ch/entscheid/ge_gerichte_AARP_411_2015</w:t>
      </w:r>
    </w:p>
    <w:p>
      <w:r>
        <w:t>FR: GE_GERICHTE AARP/411/2015 du 28 août 2015</w:t>
      </w:r>
    </w:p>
    <w:p>
      <w:r>
        <w:t>IT: GE_GERICHTE AARP/411/2015 del 28 agosto 2015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w:t>
      </w:r>
    </w:p>
    <w:p>
      <w:r>
        <w:t>- 5/13 - P/22255/2014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w:t>
      </w:r>
    </w:p>
    <w:p>
      <w:r>
        <w:rPr>
          <w:b/>
        </w:rPr>
        <w:t>E. 2.2</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2.3</w:t>
      </w:r>
    </w:p>
    <w:p>
      <w:r>
        <w:t>Aux termes de l'art. 41 al. 1 CP, le juge peut prononcer une peine privative de liberté ferme de moins de six mois uniquement si les conditions du sursis à</w:t>
      </w:r>
    </w:p>
    <w:p>
      <w:r>
        <w:t>- 6/13 - P/22255/2014 l'exécution de la peine (art. 42 CP) ne sont pas réunies et s'il y a lieu d'admettre que ni une peine pécuniaire, ni un travail d'intérêt général ne peuvent être exécutés. À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l'État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p. 100 ; arrêts du Tribunal fédéral 6B_234/2010 du 4 janvier 2011 consid. 4.1.1 et 6B_128/2011 du 14 juin 2011 consid. 3.1).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2.4.1. Pour l'octroi du sursis (art. 42 CP),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w:t>
      </w:r>
    </w:p>
    <w:p>
      <w:r>
        <w:t>- 7/13 - P/22255/2014 qu'il n'y ait pas de pronostic défavorable. Le sursis est désormais la règle dont on ne peut s'écarter qu'en présence d'un pronostic défavorable. Il prime en cas d'incertitude (ATF 134 IV 1 consid. 4.2.2 p. 5-6 ; SJ 2008 I p. 277 consid. 2.1. p. 280). 2.4.2.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6 ; arrêt du Tribunal fédéral 6B_352/2014 du 22 mai 2015 consid. 7.1., destiné à la publication). L'art. 42 al. 2 CP ne s'applique qu'en présence d'une seule condamnation antérieure, et non si l'auteur a été condamné à plusieurs peines, même si l'addition de leur durée dépasse six mois ou 180 jours-amende. En effet, ce qui est déterminant, c'est que l'auteur ait commis une infraction d'une certaine gravité, et non plus – comme sous l'ancien droit – qu'il ait purgé une peine privative de liberté d'une certaine longueur (arrêt du Tribunal fédéral 6B_812/2009 du 18 février 2010 consid. 2.1).</w:t>
      </w:r>
    </w:p>
    <w:p>
      <w:r>
        <w:rPr>
          <w:b/>
        </w:rPr>
        <w:t>E. 2.5</w:t>
      </w:r>
    </w:p>
    <w:p>
      <w:r>
        <w:t>L'art. 36 al. 1 CP dispose que, dans la mesure où le condamné ne paie pas la peine pécuniaire et que celle-ci est inexécutable par la voie de la poursuite pour dettes, la peine pécuniaire fait place à une peine privative de liberté. La seule perspective que la peine pécuniaire ne puisse être exécutée ne doit cependant pas conduire a priori au prononcé d'une courte peine privative de liberté ferme. Ni la situation économique de l'auteur ni le fait que son insolvabilité est prévisible ne constituent des critères pertinents pour choisir la nature de la sanction (ATF 134 IV 97 consid. 5.2.3 p. 104-105 ; arrêt du Tribunal fédéral 6B_541/2007 du 13 mai 2008 consid. 5.1). En effet, la peine pécuniaire ne se résume pas à la seule privation de moyens financiers. Son sens et son but résident dans la restriction apportée au standard de vie ainsi qu'aux possibilités de consommation qui en résultent. Selon le législateur, la peine pécuniaire doit aussi pouvoir être prononcée à l'encontre d'auteurs dont les revenus sont faibles, très faibles ou n'atteignent même pas le minimum vital, à défaut de quoi, des peines privatives de liberté seraient fréquemment infligées parce que la</w:t>
      </w:r>
    </w:p>
    <w:p>
      <w:r>
        <w:t>- 8/13 - P/22255/2014 peine pécuniaire apparaîtrait inadéquate. Cela contredirait fondamentalement l'intention centrale à la base de la révision. En tant que la peine pécuniaire touche précisément à ce qui est nécessaire aux auteurs démunis pour vivre, elle est d'autant plus clairement sensible pour ces derniers. Il n'y a pas place non plus selon le Message pour une peine pécuniaire qui ne puisse être acquittée, sous réserve de la faute de l'auteur ou d'événements imprévisibles. C'est pourquoi le législateur a expressément renoncé à fixer un seuil minimal à la peine pécuniaire.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104-105 ; arrêt du Tribunal fédéral 6B_541/2007 du 13 mai 2008 consid. 5.1). Conformément à l'art. 34 CP, la peine pécuniaire est fixée en jours-amende dont le tribunal fixe le nombre en fonction de la culpabilité de l'auteur (al. 1). Il y a lieu d'appliquer la règle générale de l'art. 47 CP. La quotité du jour-amende doit être fixée selon la situation personnelle et économique de l'auteur au moment du jugement, notamment en tenant compte de son revenu et de sa fortune, de son mode de vie, de ses obligations d'assistance, en particulier familiales, et du minimum vital (al. 2).</w:t>
      </w:r>
    </w:p>
    <w:p>
      <w:r>
        <w:rPr>
          <w:b/>
        </w:rPr>
        <w:t>E. 2.6</w:t>
      </w:r>
    </w:p>
    <w:p>
      <w:r>
        <w:t>Le prononcé d'un travail général n'est justifié qu'autant que l'on puisse au moins prévoir que l'intéressé pourra, cas échéant après l'exécution, poursuivre son évolution en Suisse. Lorsqu'il est d'avance exclu que l'étranger demeure en Suisse, ce but ne peut être atteint. Aussi, lorsqu'il n'existe, au moment du jugement, aucun droit de demeurer en Suisse, ou lorsqu'il est établi qu'une décision définitive a été rendue sur son statut en droit des étrangers et qu'il doit quitter la Suisse, le travail d'intérêt général ne constitue pas une sanction adéquate (arrêts du Tribunal fédéral 6B_787/2014 du 27 novembre 2014 consid. 1.3.2 et 6B_262/2012 du 4 octobre 2012 consid. 1.3.2).</w:t>
      </w:r>
    </w:p>
    <w:p>
      <w:r>
        <w:rPr>
          <w:b/>
        </w:rPr>
        <w:t>E. 2.7</w:t>
      </w:r>
    </w:p>
    <w:p>
      <w:r>
        <w:t>L'infraction à l'art. 19 al. 1 LStup est passible d'une peine privative de liberté de trois ans au plus ou d'une peine pécuniaire, celles réprimées à l'art. 115 al. 1 LEtr d'une peine privative de liberté d'un an au plus ou d'une peine pécuniaire.</w:t>
      </w:r>
    </w:p>
    <w:p>
      <w:r>
        <w:rPr>
          <w:b/>
        </w:rPr>
        <w:t>E. 2.8</w:t>
      </w:r>
    </w:p>
    <w:p>
      <w:r>
        <w:t>En l'espèce, la faute de l'appelant n'est pas négligeable. Si la période pénale, soit vraisemblablement trois mois, est certes courte sa faute n'est pas anodine, dans la mesure où il s'évertue à revenir et séjourner en Suisse malgré une précédente condamnation pour y travailler illégalement, faisant ainsi fi des lois en vigueur. Sa faute est de gravité moyenne s'agissant de l'infraction à LStup, eu égard au fait qu'il n'est question que d'assez faibles quantités de cocaïne et de son rôle de vendeur de rue.</w:t>
      </w:r>
    </w:p>
    <w:p>
      <w:r>
        <w:t>- 9/13 - P/22255/2014 Sa situation personnelle précaire n'est pas un facteur à décharge nonobstant ses développements en ce sens, dans la mesure où elle est la conséquence de son refus de quitter un pays où il séjourne illégalement. Il a fait l'objet d'une précédente condamnation, somme toute récente à l'époque des faits, pour des infractions spécifiques. Ce précédent ne l'a pas dissuadé de récidiver, de surcroît dans le délai d'épreuve de trois ans. Sa collaboration à la procédure doit être qualifiée de bonne. Il a immédiatement reconnu les faits qui lui étaient reprochés, été cohérent et constant dans son récit. Aucune des circonstances atténuantes prévues par l'art. 48 CP n'est réalisée, ni d'ailleurs plaidée. Il y a concours d'infractions. Le pronostic d'avenir de l'appelant est clairement défavorable. Sa précédente et relativement récente condamnation pour des faits similaires, pour laquelle il avait été détenu préventivement pendant 134 jours, n'a eu aucun effet dissuasif, étant précisé que faute d'avoir été démontré, le départ pour la France dont il se prévaut ne saurait être pris en compte. À cela s'ajoute une situation précaire qui augmente encore le risque de commission de nouvelles infractions. Une peine avec sursis ne semble donc pas apte à le détourner de commettre d'autres infractions du même type, de sorte que seule une peine ferme est envisageable. Le statut administratif de l'appelant ne permet pas le prononcé d'un travail d'intérêt général, ce qui n'est au demeurant pas plaidé. La peine privative de liberté, pourtant plus sévère, qui lui avait précédemment été infligée étant restée sans effet, le prononcé d'une peine pécuniaire ne serait pas suffisamment dissuasif pour détourner l'appelant de comportements similaires. Pour ces motifs, seule entre en considération une courte peine privative de liberté, étant rappelé que la D irective sur le retour 2008/115/CE et la jurisprudence y relative ne trouvent pas application, l'appelant ayant également été condamné pour infractions à la LStup. Au vu des éléments qui précèdent, le premier juge n'a pas mésusé de son pouvoir d'appréciation en arrêtant la quotité de la peine à quatre mois, d'autant qu'il a renoncé à révoquer le sursis précédemment octroyé. Le jugement dont est appel sera donc entièrement confirmé.</w:t>
      </w:r>
    </w:p>
    <w:p>
      <w:r>
        <w:rPr>
          <w:b/>
        </w:rPr>
        <w:t>E. 3</w:t>
      </w:r>
    </w:p>
    <w:p>
      <w:r>
        <w:t>L'appelant, qui succombe, sera condamné aux frais de la procédure d'appel, qui comprennent un émolument de jugement de CHF 1'200.- (art. 428 CPP et 14 al. 1 du</w:t>
      </w:r>
    </w:p>
    <w:p>
      <w:r>
        <w:t>- 10/13 - P/22255/2014 règlement fixant le tarif des frais en matière pénale du 22 décembre 2010 [RTFMP ; E 4 10.03]).</w:t>
      </w:r>
    </w:p>
    <w:p>
      <w:r>
        <w:rPr>
          <w:b/>
        </w:rPr>
        <w:t>E. 4.1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Au regard de ce qui précède, la CPAR est compétente, au sens de l'art. 135 al. 2 CPP, pour statuer sur l'activité postérieure à sa saisine, le 13 avril 2015. 4.2.1.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4.2.2.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s'est inspirée jusqu'à présent des "Instructions relatives à l'établissement de l'état de frais" et de l' "Etat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w:t>
      </w:r>
    </w:p>
    <w:p>
      <w:r>
        <w:t>- 11/13 - P/22255/2014 particulièrement volumineux ou nécessitant un examen poussé, charge à l'avocat d'en justifier l'existence.</w:t>
      </w:r>
    </w:p>
    <w:p>
      <w:r>
        <w:rPr>
          <w:b/>
        </w:rPr>
        <w:t>E. 4.3</w:t>
      </w:r>
    </w:p>
    <w:p>
      <w:r>
        <w:t>En l'espèce, les 15 minutes consacrées à la rédaction de l'annonce d'appel ne seront pas indemnisées par l'assistance juridique, de même que les 45 minutes pour la rédaction de la déclaration d'appel, respectivement d'un courrier à la CPAR. Ces tâches sont incluses dans le forfait pour l'activité diverse, étant précisé que la déclaration d'appel n'a pas besoin d'être motivée (cf. arrêt de la Cour des plaintes du Tribunal pénal fédéral du 21 novembre 2014 BB.2014.51 consid. 2.1.). Par conséquent, l'état de frais de Me B______ sera admis, après les déductions qui précèdent, à concurrence de trois heures d'activité effectuées par lui-même, soit au taux horaire de CHF 200.-. L'indemnisation sera dès lors accordée à hauteur de CHF 777.60 (indemnité forfaitaire de 20% [CHF 120.00.-] et TVA à 8% [CHF 57.60] comprises). * * * * *</w:t>
      </w:r>
    </w:p>
    <w:p>
      <w:r>
        <w:t>- 12/13 - P/22255/2014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