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AARP/410/2023 vom 13. November 2023</w:t>
      </w:r>
    </w:p>
    <w:p>
      <w:r>
        <w:t>GE Cour de justice, 2023-11-13, FR</w:t>
      </w:r>
    </w:p>
    <w:p>
      <w:r>
        <w:rPr>
          <w:b/>
        </w:rPr>
        <w:t xml:space="preserve">Quelle: </w:t>
      </w:r>
      <w:r>
        <w:t>https://mcp.opencaselaw.ch/entscheid/ge_gerichte_AARP_410_2023</w:t>
      </w:r>
    </w:p>
    <w:p>
      <w:r>
        <w:t>FR: GE_GERICHTE AARP/410/2023 du 13 novembre 2023</w:t>
      </w:r>
    </w:p>
    <w:p>
      <w:r>
        <w:t>IT: GE_GERICHTE AARP/410/2023 del 13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également garantie par l'art. 6 ch. 2 de la Convention de sauvegarde des droits de l'homme (CEDH) et par les art. 32 al. 1 de la Constitution fédérale (Cst.),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- 6/11 - P/18719/2019</w:t>
      </w:r>
    </w:p>
    <w:p>
      <w:r>
        <w:rPr>
          <w:b/>
        </w:rPr>
        <w:t>E. 2.2</w:t>
      </w:r>
    </w:p>
    <w:p>
      <w:r>
        <w:t>Se rend coupable d'entrave à l'action pénale, au sens de l'art. 305 al. 1 CP, quiconque soustrait une personne, au moins temporairement, à l'action de la justice pénale, qu'il s'agisse de la poursuite pénale ou de l'exécution des peines et mesures. Il s’agit d’une infraction de résultat qui n'est consommée que si le comportement adopté a eu pour effet de soustraire la personne à l'action de la justice au moins durant un certain temps, par exemple en retardant son arrestation (ATF 141 IV 459 consid. 4.2). Dans tous les cas, il faut démontrer que le fugitif, le prévenu ou l'auteur a été soustrait durant un certain temps à l'action de la police du fait du prétendu fauteur (ATF 129 IV 138 consid. 2.1). La soustraction peut aussi être commise par abstention, à la condition que l'auteur ait une obligation juridique d'agir en raison d'une position de garant. Occupe une position de garant celui qui a une obligation particulière de collaborer à l'administration de la justice pénale, notamment en raison de sa fonction (cf. art. 302 al. 1 CPP), comme par exemple un garde-chasse (ATF 141 IV 459 consid. 4.2) ou un policier (ATF 109 IV 46 ; arrêt du Tribunal fédéral 6B_1176/2015 du 23 novembre 2016 consid. 1.3). L'infraction est intentionnelle mais le dol éventuel suffit (ATF 103 IV 98 consid. 2).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Il importe peu que l'auteur pense que la personne favorisée est coupable ou innocente (M. DUPUIS / B. GELLER / G. MONNIER / L. MOREILLON / C. PIGUET / C. BETTEX / D. STOLL [éds], Code pénal - Petit commentaire, 2012, n. 27 s. ad art. 305 ; B. CORBOZ, Les infractions en droit suisse, vol. II, 2010, n. 43 ad art. 305). La notion de poursuite pénale n'est pas délimitée en fonction de l'infraction en cause; il peut donc aussi s'agir d'une poursuite pour une simple contravention. Dans cette situation, le juge devrait cependant tenir compte de la gravité de l'infraction commise par la personne favorisée pour apprécier la faute dans le cadre général de la fixation de la peine. L'infraction d'entrave ne devrait ainsi pas être punie plus sévèrement que le serait la personne favorisée (ATF 141 IV 459 consid. 4.2; A. MACALUSO / L. MOREILLON / N. QUELOZ (éds), Commentaire romand, Code pénal II, vol. II, Partie spéciale : art. 111-392 CP, Bâle 2017, n. 39 ad art. 305).</w:t>
      </w:r>
    </w:p>
    <w:p>
      <w:r>
        <w:rPr>
          <w:b/>
        </w:rPr>
        <w:t>E. 2.3</w:t>
      </w:r>
    </w:p>
    <w:p>
      <w:r>
        <w:t>L'art. 312 CP réprime le fait pour un membre d'une autorité ou un fonctionnaire d'abuser des pouvoirs de sa charge dans le dessein de se procurer ou de procurer à un tiers un avantage illicite ou de nuire à autrui.</w:t>
      </w:r>
    </w:p>
    <w:p>
      <w:r>
        <w:t>- 7/11 - P/18719/2019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114 IV 41 consid. 2; 113 IV 29 consid. 1).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(ATF 113 IV 29 consid. 1).</w:t>
      </w:r>
    </w:p>
    <w:p>
      <w:r>
        <w:rPr>
          <w:b/>
        </w:rPr>
        <w:t>E. 2.4</w:t>
      </w:r>
    </w:p>
    <w:p>
      <w:r>
        <w:t>Selon l'instruction de service 12/2013 du 25 septembre 2013 intitulée "Suivi et annulation des amendes d'ordre LCR (AO)" établie par le Commandant de la gendarmerie, l'annulation ou la renonciation à une amende d'ordre doit obéir exclusivement à un critère découlant du droit pénal. La renonciation à délivrer une amende d'ordre ne doit donc pas résulter du simple arbitraire ou d'une complaisance portant atteinte à l'égalité de traitement. Seul le service des contraventions, organe de poursuite pénale, est compétent pour annuler une amende d'ordre sur proposition des chefs de service ou sur proposition de l'agent verbalisateur, via sa hiérarchie.</w:t>
      </w:r>
    </w:p>
    <w:p>
      <w:r>
        <w:rPr>
          <w:b/>
        </w:rPr>
        <w:t>E. 2.5</w:t>
      </w:r>
    </w:p>
    <w:p>
      <w:r>
        <w:t>En l'espèce, le prévenu, policier en fonction, a fait en sorte qu’une amende qu’il avait apposée soit annulée. La manière dont il a procédé (directement, comme il semble l’avoir initialement déclaré, ou en sollicitant formellement ou informellement son chef de groupe, comme il l’a ensuite soutenu) souffre, compte tenu des éléments ci-après, de demeurer indécise. L’annulation d’une amende d’ordre met un terme à la poursuite pénale et constitue donc, objectivement, un obstacle à celle-ci. Pour être constitutive d’entrave à l’action pénale, au sens de l’art. 305 CP, l’annulation doit toutefois être illégitime ; l’agent verbalisateur doit pouvoir disposer, comme le soutient d’ailleurs l’accusation, d’une</w:t>
      </w:r>
    </w:p>
    <w:p>
      <w:r>
        <w:t>- 8/11 - P/18719/2019 certaine marge de manœuvre pour procéder à une telle annulation, en cas de circonstances le conduisant à retenir l’absence d’infraction. En l’espèce, l’annulation est intervenue suite à la demande du contrevenant, adressée à une connaissance gendarme, sans motif particulier. Ledit gendarme a d’ailleurs admis être intervenu par complaisance et avoir demandé à l’agent verbalisateur d’annuler la contravention. Il n’a donné aucune explication sur l’échange intervenu avec son collègue, n’ayant qu’un vague souvenir des faits. Cette absence de mémoire des faits, chez les deux policiers concernés, plaide plutôt pour un fait banal, ne sortant pas de l’ordinaire. En l’absence de toute information à ce sujet, la CPAR se trouve confrontée à deux versions contradictoires. Soit le prévenu, comme le soutient le MP, a agi par complaisance ; soit, comme le soutient la défense, il a annulé la contravention parce que son collègue lui a présenté un motif valable, quel qu’il soit. Contrairement à ce que soutient le MP, il est à cet égard parfaitement plausible qu’un collègue de l’agent verbalisateur soit récipiendaire d’un tel motif, par exemple lorsqu’un conducteur se présente au poste de police pour justifier d’une excuse valable. Aucun élément supplémentaire n’a été recueilli à ce sujet. En particulier, le gendarme complaisant n’a donné aucune explication et n’a pas été spécifiquement interrogé sur ce point, pas plus que le contrevenant lui-même. Aucune investigation n’a été menée quant au processus de vérification, qui est avéré, les multiples souches du carnet de contravention servant notamment cet objet (une seule copie étant suffisante s’il s’était uniquement agi d’assurer la transmission de l’information au SDC). L’accusation ne conteste pas l’existence de ce processus, se contentant d’affirmer qu’il n’est pas efficace, sans toutefois en faire la démonstration. Le fait qu’un processus de contrôle soit mis en place est néanmoins de nature à faire obstacle à la complaisance et à réfréner toute velléité d’un agent de protéger indûment un justiciable, de crainte qu’un tel acte soit sanctionné lors d’un contrôle subséquent. Le prévenu, jeune gendarme, n’avait certainement pas de raison de douter de la réalité du contrôle de sa hiérarchie et devait donc avoir d’autant plus à cœur de respecter ses obligations. L’absence de toute sanction disciplinaire, alors que les faits ont été dénoncés à sa hiérarchie, tend à conforter la bonne foi du prévenu. On ne voit en effet pas que la police tolère que l’un de ses agents soustraie un justiciable à la sanction par complaisance. Contrairement à son collègue, le prévenu n’avait de surcroît aucun lien avec le contrevenant. Rien ne permet de retenir qu’il connaissait son identité et il n’a pas été destinataire d’un quelconque message de celui-ci en lien avec l’amende d’ordre en</w:t>
      </w:r>
    </w:p>
    <w:p>
      <w:r>
        <w:t>- 9/11 - P/18719/2019 question. Il n’est pas non plus imaginable, sauf à violer la présomption d’innocence, de retenir qu’un policier en fonction serait susceptible d’annuler une amende sur simple demande non motivée d’un collègue, ce d’autant plus en l’espèce qu’il s’agit d’un cas unique. Dans ces circonstances, et conformément au principe in dubio pro reo, confrontée à deux versions contradictoires également probables (à tout le moins), il n’est pas possible pour la CPAR de retenir que le prévenu a agi par complaisance. Le MP, qui supporte le fardeau de la preuve, n’en a pas fait la démonstration et l’acquittement du prévenu doit donc être confirmé.</w:t>
      </w:r>
    </w:p>
    <w:p>
      <w:r>
        <w:rPr>
          <w:b/>
        </w:rPr>
        <w:t>E. 2.6</w:t>
      </w:r>
    </w:p>
    <w:p>
      <w:r>
        <w:t>Ce qui précède vaut, mutatis mutandis, pour l’abus d’autorité dénoncé. Dans la mesure où, dans le respect de la présomption d’innocence, la CPAR retient que le prévenu a agi sur la base d’une explication justifiant l’annulation de l’amende d’ordre, il a été mû par un motif valable et n’a donc pas abusé des devoirs de sa charge. L’appel du MP doit ainsi être intégralement rejeté et l’acquittement prononcé par le premier juge confirmé.</w:t>
      </w:r>
    </w:p>
    <w:p>
      <w:r>
        <w:rPr>
          <w:b/>
        </w:rPr>
        <w:t>E. 3.1</w:t>
      </w:r>
    </w:p>
    <w:p>
      <w:r>
        <w:t>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w:t>
      </w:r>
    </w:p>
    <w:p>
      <w:r>
        <w:t>- 10/11 - P/18719/2019 assumée, du résultat obtenu et de la situation du client. La Cour de justice applique ainsi un tarif horaire maximal de CHF 450.- pour les chefs d'étude (AARP/79/2023 du 15 mars 2023 consid. 4.1 ; AARP/357/2022 du 16 novembre 2022 consid. 6.1 ; AARP/347/2022 du 16 novembre 2022 consid. 2.1).</w:t>
      </w:r>
    </w:p>
    <w:p>
      <w:r>
        <w:rPr>
          <w:b/>
        </w:rPr>
        <w:t>E. 3.2</w:t>
      </w:r>
    </w:p>
    <w:p>
      <w:r>
        <w:t>En l’espèce, le prévenu conclut à l'indemnisation de ses frais de défense à raison de trois heures d’activité de son avocat, durée de l’audience d’appel (1h25) en sus. Cette activité paraît adéquate et proportionnée ; l’indemnité sollicitée, par CHF 2'140.55 (4h25 à CHF 450.- plus la TVA au taux de 7.7%) sera par conséquent allouée.</w:t>
      </w:r>
    </w:p>
    <w:p>
      <w:r>
        <w:rPr>
          <w:b/>
        </w:rPr>
        <w:t>E. 4</w:t>
      </w:r>
    </w:p>
    <w:p>
      <w:r>
        <w:t>Vu l'issue de la procédure, les frais d'appel seront laissés à la charge de l'Etat (art. 428 CPP). * * * * *</w:t>
      </w:r>
    </w:p>
    <w:p>
      <w:r>
        <w:t>- 11/11 - P/18719/2019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