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AARP/40/2022 vom 8. Februar 2022</w:t>
      </w:r>
    </w:p>
    <w:p>
      <w:r>
        <w:t>GE Cour de justice, 2022-02-08, FR</w:t>
      </w:r>
    </w:p>
    <w:p>
      <w:r>
        <w:rPr>
          <w:b/>
        </w:rPr>
        <w:t xml:space="preserve">Quelle: </w:t>
      </w:r>
      <w:r>
        <w:t>https://mcp.opencaselaw.ch/entscheid/ge_gerichte_AARP_40_2022</w:t>
      </w:r>
    </w:p>
    <w:p>
      <w:r>
        <w:t>FR: GE_GERICHTE AARP/40/2022 du 8 février 2022</w:t>
      </w:r>
    </w:p>
    <w:p>
      <w:r>
        <w:t>IT: GE_GERICHTE AARP/40/2022 del 8 febbraio 2022</w:t>
      </w:r>
    </w:p>
    <w:p>
      <w:pPr>
        <w:pStyle w:val="Heading2"/>
      </w:pPr>
      <w:r>
        <w:t>Erwägungen</w:t>
      </w:r>
    </w:p>
    <w:p>
      <w:r>
        <w:rPr>
          <w:b/>
        </w:rPr>
        <w:t>E. 1</w:t>
      </w:r>
    </w:p>
    <w:p>
      <w:r>
        <w:t>Peuvent faire l'objet d'un appel, les jugements des tribunaux de première instance qui ont clos tout ou partie de la procédure (art. 398 al. 1 du Code de procédure pénale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t>La Chambre limite son examen aux violations décrites dans l'acte d'appel (art. 404 al. 1 CPP), sauf en cas de décisions illégales ou inéquitables (art. 404 al. 2 CPP).</w:t>
      </w:r>
    </w:p>
    <w:p>
      <w:r>
        <w:rPr>
          <w:b/>
        </w:rPr>
        <w:t>E. 2.1</w:t>
      </w:r>
    </w:p>
    <w:p>
      <w:r>
        <w:t>Selon l'art. 87 al. 1 et 2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À défaut, les notifications ont lieu dans la Feuille officielle cantonale (art. 87 al. 2 1ère phrase et 88 al. 1 let. c CPP).</w:t>
      </w:r>
    </w:p>
    <w:p>
      <w:r>
        <w:t>- 4/8 - P/16801/2018 Le CPP pose le principe de l'unité du lieu de notification et de la désignation obligatoire d'un tel lieu en Suisse, afin de permettre à l'autorité pénale d'atteindre une personne en un endroit où elle est censée se trouver (ACPR/311/2011 du 1er novembre 2011). L'autorité pénale peut procéder à la notification de son jugement à l'adresse indiquée par le destinataire, jusqu'à la communication d'un avis de changement d'adresse ; tant qu'aucun changement d'adresse n'est communiqué à l'autorité, la notification sera considérée comme régulière si le prononcé est remis à une personne qui réside à l'adresse indiquée et qui accepte la notification (arrêt du Tribunal fédéral 6B_1111/2018 du 18 décembre 2018 consid. 1). L'art. 87 al. 1 CPP, selon lequel toute communication doit être notifiée au domicile, au lieu de résidence habituelle ou au siège du destinataire, n’interdit toutefois pas à une partie d'indiquer aux autorités judiciaires une autre adresse que celles mentionnées dans cette disposition. Dès lors que le destinataire a le droit d'indiquer une autre adresse de notification que son domicile ou sa résidence habituelle, il a le droit que les notifications se fassent à l'adresse communiquée. Est toutefois réservée l'hypothèse où la notification à l'adresse indiquée serait sensiblement plus compliquée que celle à l'un des lieux mentionnés à l'art. 87 al. 1 CPP (ATF 139 IV 228 consid. 1.2 p. 230 = SJ 2014 I 65).</w:t>
      </w:r>
    </w:p>
    <w:p>
      <w:r>
        <w:rPr>
          <w:b/>
        </w:rPr>
        <w:t>E. 2.2</w:t>
      </w:r>
    </w:p>
    <w:p>
      <w:r>
        <w:t>Selon les art. 85 al. 2 et 87 CPP, les autorités pénales notifient leurs prononcés écrits, au domicile du destinataire, par lettre signature ou par tout autre mode de communication impliquant un accusé de réception. Le prononcé est réputé notifié lorsqu'il a été remis au destinataire (art. 85 al. 3 CPP). En cas d'échec de distribution d'une lettre signature, cette dernière doit être retirée dans un office de poste, le destinataire étant invité, par le dépôt d'un avis, à venir chercher l'envoi. L'intéressé dispose, pour effectuer ce retrait, d'un délai de sept jours. Si le pli n'est pas retiré dans ce laps de temps et si le destinataire devait s'attendre à une telle remise, le prononcé est réputé notifié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w:t>
      </w:r>
    </w:p>
    <w:p>
      <w:r>
        <w:t>- 5/8 - P/16801/2018 recommandés que le juge lui adresse. Une telle obligation signifie que le destinataire doit, le cas échéant, désigner un représentant, faire suivre son courrier, informer les autorités de son absence ou leur indiquer une adresse de notification (ATF 141 II 429 consid. 3.1 p. 431 s. ; 139 IV 228 consid. 1.1 p. 230 et arrêt du Tribunal fédéral 6B_801/2019 du 21 novembre 2019 destiné à la publication consid. 1.1.2). On peut exiger d'une partie à une procédure qu'elle veille à la réexpédition de la correspondance qui lui parvient à son ancienne adresse, éventuellement qu'elle informe l'autorité d'une absence prolongée ou qu'elle nomme un représentant (ATF 139 IV 228 consid. 1.1 ; 119 V 89 c. 4b/aa ; arrêt du Tribunal fédéral 6B_704/2015 du 16 février 2016 consid. 2.3 et les références citées). La fiction de notification suppose que le destinataire puisse reconnaître que l'expéditeur est l'autorité dont il doit s'attendre à recevoir une notification. Le pli est réputé notifié après le délai de sept jours même si la poste indique un retrait plus long (Y. JEANNERET / A. KUHN / C. PERRIER DEPEURSINGE (éds), Commentaire romand : Code de procédure pénale suisse, 2ème éd., Bâle 2019, n. 32 ad art. 85 CPP). Par ailleurs, si le destinataire doit s’attendre à la notification,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141 II 429 c. 3.1 ; arrêt du Tribunal fédéral 6B_302/2020 du 25 juin 2020 consid. 5.2).</w:t>
      </w:r>
    </w:p>
    <w:p>
      <w:r>
        <w:rPr>
          <w:b/>
        </w:rPr>
        <w:t>E. 2.3</w:t>
      </w:r>
    </w:p>
    <w:p>
      <w:r>
        <w:t>En l'absence d'une déclaration écrite d'appel, l'appel est irrecevable, même si l'on parvient à deviner, à la lecture de l'annonce d'appel, quelles auraient pu être les modifications du jugement demandées dans la déclaration d'appel, celle-ci eût-elle été déposée (arrêts du Tribunal fédéral 6B_1336/2017 du 22 mai 2018 consid. 2.1 ; 6B_678/2017 du 6 décembre 2017 consid. 5.1 ; 6B_547/2016 du 21 juin 2016 consid. 4 ; 6B_458/2013 du 4 novembre 2013 consid. 1.4.2 ; AARP/249/2016 du 23 juin 2016).</w:t>
      </w:r>
    </w:p>
    <w:p>
      <w:r>
        <w:rPr>
          <w:b/>
        </w:rPr>
        <w:t>E. 2.4</w:t>
      </w:r>
    </w:p>
    <w:p>
      <w:r>
        <w:t>En l’espèce, l’appelant ne dispose pas d’un domicile à Genève, même s’il semble y résider de façon irrégulière depuis plusieurs années. Il a, au fil de la procédure, indiqué des adresses différentes lors de ses communications à l’autorité, comme il y était tenu par l’art. 87 al. 2 CPP. La notification du jugement de première instance à son ancienne adresse à la rue 1______ n’était ainsi pas valable. En revanche, lors de l’envoi à l’adresse du « B______ », le premier juge a clairement respecté l’adresse indiquée par l’appelant dans son annonce d’appel, qui doit donc être considérée comme son adresse de notification, laquelle est donc réputée intervenue le 27 novembre 2021. La troisième notification, à l’adresse de H______ donnée antérieurement par l’appelant, apparaît ainsi superflue.</w:t>
      </w:r>
    </w:p>
    <w:p>
      <w:r>
        <w:t>- 6/8 - P/16801/2018 Il n’est toutefois pas nécessaire de déterminer par quel envoi la notification du jugement du TP a été effective, dans la mesure où même s’il fallait retenir le dernier recommandé (retiré le 14 décembre 2021), il est établi qu’aucune déclaration d’appel n’est parvenue à la Cour de céans dans le délai de 20 jours dès cette date. L’appelant, qui est réputé avoir reçu la communication de la CPAR du 13 janvier 2022 au plus tard à l’échéance du délai de garde de sept jours, soit le 21 janvier 2022, n’a de surcroît pas réagi à cette communication dans le délai imparti. Partant, l’appel annoncé le 29 septembre 2021 est irrecevable, faute d’avoir été confirmé par une déclaration d’appel formée dans le délai de l’art. 399 al. 3 CPP.</w:t>
      </w:r>
    </w:p>
    <w:p>
      <w:r>
        <w:rPr>
          <w:b/>
        </w:rPr>
        <w:t>E. 3</w:t>
      </w:r>
    </w:p>
    <w:p>
      <w:r>
        <w:t>La partie dont l'appel est irrecevable est considérée comme ayant succombé ; elle supportera les frais de la procédure envers l'Etat (art. 428 CPP). * * * * *</w:t>
      </w:r>
    </w:p>
    <w:p>
      <w:r>
        <w:t>- 7/8 - P/16801/2018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