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AARP/40/2017 vom 6. Februar 2017</w:t>
      </w:r>
    </w:p>
    <w:p>
      <w:r>
        <w:t>GE Cour de justice, 2017-02-06, FR</w:t>
      </w:r>
    </w:p>
    <w:p>
      <w:r>
        <w:rPr>
          <w:b/>
        </w:rPr>
        <w:t xml:space="preserve">Quelle: </w:t>
      </w:r>
      <w:r>
        <w:t>https://mcp.opencaselaw.ch/entscheid/ge_gerichte_AARP_40_2017</w:t>
      </w:r>
    </w:p>
    <w:p>
      <w:r>
        <w:t>FR: GE_GERICHTE AARP/40/2017 du 6 février 2017</w:t>
      </w:r>
    </w:p>
    <w:p>
      <w:r>
        <w:t>IT: GE_GERICHTE AARP/40/2017 del 6 febbraio 2017</w:t>
      </w:r>
    </w:p>
    <w:p>
      <w:pPr>
        <w:pStyle w:val="Heading2"/>
      </w:pPr>
      <w:r>
        <w:t>Erwägungen</w:t>
      </w:r>
    </w:p>
    <w:p>
      <w:r>
        <w:rPr>
          <w:b/>
        </w:rPr>
        <w:t>E. 1</w:t>
      </w:r>
    </w:p>
    <w:p>
      <w:r>
        <w:t>1.1.1. La partie qui annonce l'appel adresse une déclaration d'appel écrite à la juridiction d'appel dans les 20 jours à compter de la notification du jugement motivé. Dans sa déclaration, elle indique (art. 399 al. 3 CPP) : si elle entend attaquer le jugement dans son ensemble ou seulement sur certaines parties (let. a) ; les modifications du jugement de première instance qu'elle demande (let. b) ; ses réquisitions de preuve (let. c).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L'art. 399 al. 3 et 4 CPP cité supra s'applique par analogie à l'appel joint (art. 401 al. 1 CPP). En cas de procédure écrite, la direction de la procédure fixe à la partie qui a déclaré l'appel ou l'appel joint un délai pour déposer un mémoire d'appel motivé (art. 406 al. 3 CPP). Le mémoire d'appel motivé remplace les plaidoiries ; doivent y figurer les points attaqués du jugement ainsi que les motifs justifiant la modification de la décision de première instance (L. MOREILLON / A. PAREIN-REYMOND, Petit commentaire, CPP, Code de procédure pénale, 2e édition, Bâle, n. 26 ad. art. 406). 1.1.2. En l'espèce, l'appel est recevable pour avoir été interjeté et motivé selon la forme et dans les délais prescrits (art. 398 et 399 CPP). Il en va de même de l'appel joint (art. 400 al. 3 let. b et 401 CPP). En effet, le MP a précisément indiqué sur quelle partie du jugement portait son appel, à savoir la quotité de la peine, et les modifications demandées, trois ans et six mois de peine</w:t>
      </w:r>
    </w:p>
    <w:p>
      <w:r>
        <w:t>- 8/21 - P/12216/2015 privative de liberté au lieu de trois ans. Pour le surplus, il importe peu de savoir si la déclaration d'appel joint a suffisamment été motivée ou non, dès lors qu'il ne s'agit pas d'une condition de recevabilité. S'agissant du mémoire d'appel joint, la Cour relève que le MP a mis en exergue de nombreux éléments tant objectifs que subjectifs, tels que la banalisation, l'expérience et l'autonomie de l'appelante, visant à augmenter la quotité de la peine fixée par les premiers juges. A______ ne peut donc être suivie lorsqu'elle allègue un défaut de motivation de l'appel joint. Mal fondés, les griefs d'abus de droit et de violation du droit à un procès équitable doivent être rejetés.</w:t>
      </w:r>
    </w:p>
    <w:p>
      <w:r>
        <w:rPr>
          <w:b/>
        </w:rPr>
        <w:t>E. 1.2</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Selon l'art. 19 ch. 2 let. a LStup, le cas est grave lorsque l'auteur sait ou ne peut ignorer que l'infraction peut directement ou indirectement mettre en danger la santé de nombreuses personnes. Pour apprécier le danger que représente un stupéfiant pour</w:t>
      </w:r>
    </w:p>
    <w:p>
      <w:r>
        <w:t>- 9/21 - P/12216/2015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Lorsque la drogue n'est plus disponible pour une analyse, le taux de pureté peut être déterminé sur une base statistique en référence au degré de pureté habituel à l'époque du trafic (ATF 138 IV 100 consid. 3.5 p. 105 ; arrêts du Tribunal fédéral 6B_940/2014 du 16 septembre 2015 consid. 5.3.1 ; 6B_600/2011 du 18 octobre 2011 consid. 1.3 ; cf. également B. CORBOZ, Les infractions en droit suisse, vol. II, 3e édition, Berne 2010, n. 86 ad art. 19 LStup). A Genève, de jurisprudence constante, l'on retient, pour la cocaïne, le bas de la fourchette du taux de pureté moyen du marché local, soit 20% (cf. AARP/207/2011 du 15 décembre 2011 ; ACJP/2015/2010 du 18 octobre 2010), cette méthode ayant été confirmée par le Tribunal fédéral (arrêt du Tribunal fédéral 6B_632/2008 du 10 mars 2009 consid. 1).</w:t>
      </w:r>
    </w:p>
    <w:p>
      <w:r>
        <w:rPr>
          <w:b/>
        </w:rPr>
        <w:t>E. 2.3</w:t>
      </w:r>
    </w:p>
    <w:p>
      <w:r>
        <w:t>En l'espèce, en mai 2015, l'appelante a effectué une première livraison de 1'000 grammes de cocaïne brut, dont le taux de pureté demeure inconnu. Il convient par conséquent d'appliquer le degré de pureté moyen de 20% à cette drogue. Elle a par ailleurs importé, en juillet 2015, 1'071 grammes net de cocaïne à un taux de pureté compris entre 24.7 et 62.7%, réalisant ainsi largement la circonstance aggravante de l'art. 19 al. 2 let. a LStup.</w:t>
      </w:r>
    </w:p>
    <w:p>
      <w:r>
        <w:rPr>
          <w:b/>
        </w:rPr>
        <w:t>E. 3</w:t>
      </w:r>
    </w:p>
    <w:p>
      <w:r>
        <w:t>3.1.1. L'infraction grave à la loi sur les stupéfiants (art. 19 al. 2 LStup) est réprimée d'une peine privative de liberté d'un an au moins, cette sanction pouvant être cumulée avec une peine pécuniaire. 3.1.2.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w:t>
      </w:r>
    </w:p>
    <w:p>
      <w:r>
        <w:t>- 10/21 - P/12216/2015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3.1.3. En matière de trafic de stupéfiants, il y a lieu de tenir compte, plus spécialement, des circonstances suivantes (arrêt du Tribunal fédéral 6B_843/2014 du</w:t>
      </w:r>
    </w:p>
    <w:p>
      <w:r>
        <w:rPr>
          <w:b/>
        </w:rPr>
        <w:t>E. 3.2</w:t>
      </w:r>
    </w:p>
    <w:p>
      <w:r>
        <w:t>Selon l’art. 48 let. a ch. 1 CP, le juge atténue la peine si l’auteur a agi en cédant à un mobile honorable. Le caractère honorable des mobiles s'apprécie d'après l'échelle des valeurs éthiques reconnues par la collectivité dans son ensemble (ATF 101 IV 387 consid. 2b p. 390 et les références citées).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w:t>
      </w:r>
    </w:p>
    <w:p>
      <w:r>
        <w:t>- 12/21 - P/12216/2015 circonstances de l'infraction comme, notamment, la manière dont celle-ci a été commise, le but visé, la perversité particulière. Le juge peut alors se borner à tenir compte du mobile honorable dans le cadre de la fixation de la peine (ATF 128 IV 53 consid. 3a p. 63/64). L'art. 48 let. a ch. 2 CP stipule que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Même si une infraction à la LStup ne constitue pas une atteinte directe à la vie ou à l'intégrité corporelle, il n'en demeure pas moins que le bien protégé par cette législation, qui est la santé publique, s'en rapproche passablement, de sorte que ce n'est qu'en présence de circonstances tout à fait exceptionnelles que les difficultés financières de l'auteur pourraient, éventuellement être prises en considération (arrêt du Tribunal fédéral 6S.496/2006 du 19 juin 2007 consid. 3 in fine).</w:t>
      </w:r>
    </w:p>
    <w:p>
      <w:r>
        <w:rPr>
          <w:b/>
        </w:rPr>
        <w:t>E. 3.3</w:t>
      </w:r>
    </w:p>
    <w:p>
      <w:r>
        <w:t>Le principe de célérité impose aux autorités de mener la procédure pénale sans désemparer, dès le moment où l'accusé est informé des soupçons qui pèsent sur lui, afin de ne pas le maintenir inutilement dans l'angoisse.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ATF 130 IV 54 consid. 3.3.1). L'autorité viole cette garantie lorsqu'elle ne rend pas une décision qu'il lui incombe de prendre dans le délai prescrit par la loi ou dans le délai que la nature de l'affaire et les circonstances font apparaître comme raisonnable (voir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toute procédure. Une diminution de la peine ne peut entrer en ligne de compte qu'en cas de lacune crasse et</w:t>
      </w:r>
    </w:p>
    <w:p>
      <w:r>
        <w:t>- 13/21 - P/12216/2015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w:t>
      </w:r>
    </w:p>
    <w:p>
      <w:r>
        <w:rPr>
          <w:b/>
        </w:rPr>
        <w:t>E. 3.4</w:t>
      </w:r>
    </w:p>
    <w:p>
      <w:r>
        <w:t>En l'espèce, la faute de l'appelante est grave, au vu de la quantité totale de cocaïne importée à deux reprises, qui s'écarte considérablement de la limite fixée pour retenir la circonstance aggravante de l'art. 19 al. 2 LStup. Seule son arrestation a mis fin à son activité illicite, ce qui relativise la brièveté de la période pénale de deux mois. Son mobile est égoïste, l'appelante ayant agi par le seul appât du gain, au mépris de la santé d'autrui. La collaboration de l'appelante a été bonne, compte tenu des renseignements fournis spontanément sur la drogue livrée en mai 2015. Malgré les excuses adressées, elle n'a cessé de se présenter comme une victime des circonstances, ce qui dénote une prise de conscience imparfaite de la gravité de ses agissements. Son âge ne peut avoir qu'une influence très limitée sur la fixation de la peine, vu la gravité de la faute. Même si l'appelante a eu un rôle de transporteur dans le contexte d'un trafic de dimension internationale, elle était néanmoins organisée et disposait d'une certaine autonomie, jouissant de la confiance de son mandant, n'hésitant pas à conserver la drogue à son domicile et ne se préoccupant pas des conséquences de ses actes. Sa situation personnelle était certes difficile, sans que cela ne justifie le recours à des actes de cette nature. Elle était d'ailleurs bien placée pour le savoir, eu égard à son antécédent spécifique espagnol. L'argument de l'appelante selon lequel le Tribunal correctionnel l'aurait discriminée du fait de ses convictions religieuses et aurait violé sa liberté de croyance, en retenant à sa charge sa participation à la fête religieuse de Saint-Firmin, tombe à faux, dès lors qu'en réalité, le reproche qui lui est adressé n'est pas qu'elle ait pris part à cette célébration, mais d'avoir entreposé la cocaïne chez elle durant plusieurs jours en raison d'une fête, acceptant ainsi de prendre des risques supplémentaires. La circonstance atténuante de la détresse profonde n'est pas, sauf conditions particulières non réalisées en l'espèce, compatible avec une infraction grave à la LStup, vu les motifs exposés. Au demeurant, l'urgence vitale de la situation de l'appelante, ou même des membres de sa famille, n'est démontrée par aucune pièce.</w:t>
      </w:r>
    </w:p>
    <w:p>
      <w:r>
        <w:t>- 14/21 - P/12216/2015 S'agissant du mobile honorable, la Cour constate que le but recherché par l'appelante, soit de subvenir à ses propres besoins, voire ceux de ses proches, s'il était avéré, serait exempt de toute critique. Tel n'est en revanche pas le cas des moyens qu'elle s'est donnée pour y parvenir. L'examen d'une éventuelle violation du principe de célérité conduit aux considérations suivantes : Certes, plus de dix mois se sont écoulés entre l'audience de confrontation du 29 octobre 2015 et l'audience de jugement du 16 septembre 2016. Cela étant, ce laps de temps a été utilisé à instruire, lors de l'audience du 28 janvier 2016, les actes commis par C______ au travers des écoutes téléphoniques, qui elles-mêmes ont dû être analysées par la police, ce qui a quelque peu reporté la date de clôture de l'instruction. Ces actes étaient néanmoins étroitement liés aux faits reprochés à l'appelante, puisqu'ils concernaient la vente de la drogue importée par celle-ci en mai 2015. Il s'est ainsi agi de juger l'ensemble des actes en même temps. L'acte d'accusation étant daté du 4 juillet 2016, les quelques deux mois écoulés avant la tenue des débats de première instance n'ont rien de scandaleux. Une violation du principe de célérité ne se conçoit pas dans ce cas de figure. La violation du droit à un défenseur, invoquée par l'appelante au stade de l'appel seulement, ne saurait être retenue en l'espèce. Concernant, tout d'abord, l'"absence" prétendue du premier défenseur, la Cour relève que celui-ci a assisté sa mandante à chacune des audiences de la procédure préliminaire. La défense obligatoire a ainsi été mise en œuvre de manière adéquate (art. 130 ss CPP). Quant à la question de savoir si ledit défenseur a été révoqué et remplacé avec la diligence et en temps requis, il ressort de la jurisprudence qu'il incombe au premier plan au prévenu de signaler une violation des droits de la défense (arrêt du Tribunal fédéral 6B_286/2013 du 14 octobre 2013 consid. 1.2). En outre, lorsque l'avocat présente des carences manifestes, l'autorité pénale doit – en principe à titre d'ultima ratio et après avoir rappelé l'intéressé à ses obligations – procéder à un changement d'avocat d'office (L. MOREILLON / A. PAREIN-REYMOND, op. cit., n. 6 ad. art. 134). En l'occurrence, compte tenu des délais intervenus entre les premières doléances de l'appelante du 6 mai 2016, sa demande de révocation du</w:t>
      </w:r>
    </w:p>
    <w:p>
      <w:r>
        <w:rPr>
          <w:b/>
        </w:rPr>
        <w:t>E. 3.5</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 p. 15). Les conditions subjectives auxquelles l'art. 42 CP soumet l'octroi du sursis intégral s'appliquent également à l'octroi du sursis partiel (ATF 134 IV 1 consid. 5.3.1 p. 10 ; cf. aussi arrêts 6B_664/2007 du 18 janvier 2008 consid. 3.2.1 et 6B_353/2008 du 30 mai 2008 consid. 2.3). Par conditions subjectives, il faut entendre notamment la condition posée à l'art. 42 al. 2 CP (ATF 134 IV 1 consid. 4.2 et 4.2.3 p. 5 ss). Il s'ensuit que l'octroi d'un sursis partiel est exclu si, durant les cinq ans qui précèdent l'infraction, l'auteur a été condamné à une peine privative de liberté ferme ou avec sursis de six mois au moins ou à une peine pécuniaire de 180 jours-amende au moins, sauf s'il justifie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w:t>
      </w:r>
    </w:p>
    <w:p>
      <w:r>
        <w:t>- 16/21 - P/12216/2015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op. cit., FF 1999 p. 1856). Mais cette réserve doit être rapprochée de celle de l'ordre public (arrêts du Tribunal fédéral 6B_244/2010 du 4 juin 2010 consid. 1 et 6S.253/2004 du 3 novembre 2004 consid. 4 ; cf. également M. NIGGLI / H. WIPRÄCHTIGER, op. cit., n. 96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3.6</w:t>
      </w:r>
    </w:p>
    <w:p>
      <w:r>
        <w:t>En l'espèce, vu la condamnation du 19 septembre 2011 à une peine privative de liberté de deux ans, dont l'appelante a fait l'objet en Espagne, il est exclu sur le principe d'assortir la peine prononcée du sursis partiel (art. 42 al. 2 CP). Par ailleurs, malgré ce que soutient l'appelante, il n'y a pas de doute sur les motifs qui ont conduit l'autorité pénale espagnole à la condamner, soit un trafic de drogue causant un grave dommage à la santé, infraction similaire à celle qui lui est reprochée dans la présente procédure. Le seul élément qui aurait pu être retenu en faveur d'un pronostic favorable préexistait aux actes reprochés à l'appelante, soit le fait d'être entourée et épaulée par certains membres de sa famille et par des amis, ce qui ne l'a pourtant pas empêchée d'agir. L'appelante avait d'ores et déjà expérimenté les effets de la prison, ayant, selon ses dires, été détenue en Espagne durant sept mois avant de récidiver. Ainsi, aucun projet de vie concret, notamment sa volonté de prendre une retraite anticipée, ne permet de retenir l'existence de circonstances particulièrement favorables. Le jugement entrepris sera partant confirmé et les appels rejetés. 4. L'appelante bénéficie du régime d'exécution anticipée de la peine, de sorte que la question du maintien en détention ne se pose pas. 5. L'appelante, qui succombe, supportera la moitié des frais de la procédure d'appel, lesquels comprennent un émolument de CHF 2'000.- (art. 428 al. 1 CPP et 14 al. 1 let. e du Règlement fixant le tarif des frais en matière pénale du 22 décembre 2010</w:t>
      </w:r>
    </w:p>
    <w:p>
      <w:r>
        <w:t>- 17/21 - P/12216/2015 [RTFMP - RS E 4 10.03]). Vu la qualité du MP comme appelant joint, le solde sera laissé à la charge de l'Etat. 6. 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200.- pour un collaborateur (let. c), débours de l'étude inclus. Le taux horaire de CHF 65.- permet de couvrir les charges occasionnées par l'avocat stagiaire et de fournir au maître de stage une rémunération correspondant à 51% du montant encaissé (cf. sur ces points AARP/52/2016 du 9 février 2016). 6.1.3. Seules les heures nécessaires sont retenues, l'appréciation du caractère nécessaire dépendant notamment de la nature, de l'importance et des difficultés de la cause, de la valeur litigieuse, de la qualité du travail fourni et du résultat obtenu (art. 16 al. 2 RAJ). Cette disposition concrétise la jurisprudence fédérale, selon laquelle le nombre d'heures nécessaires pour assurer la défense d'office du prévenu est décisif pour fixer cette indemnité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Il ne saurait, sous l'angle de la nécessité,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6.1.4. L'autorité cantonale jouit d'une importante marge d'appréciation lorsqu'elle fixe, dans la procédure, la rémunération du défenseur d'office (ATF 141 I 124 consid. 3.2 p. 126-127 et les références citées ; arrêts du Tribunal fédéral</w:t>
      </w:r>
    </w:p>
    <w:p>
      <w:r>
        <w:t>- 18/21 - P/12216/2015 6B_675/2015 précité consid. 3.1 et 6B_856/2014 du 10 juillet 2015 consid. 2.3 ; décision du Tribunal pénal fédéral BB.2015.85 du 12 avril 2016 consid. 3.2.3). 6.1.5.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pour les avocats et une heure pour les avocats-stagiaires, ce qui comprend le temps de déplacement. 6.1.6.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6.1.7. Les séances internes entre le défenseur d'office et son stagiaire, par exemple, ne sont pas indemnisées par l'assistance juridique (AARP/307/2014 du 2 juillet 2014 ; AARP/20/2014 du 7 janvier 2014). 6.1.8.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w:t>
      </w:r>
    </w:p>
    <w:p>
      <w:r>
        <w:t>- 19/21 - P/12216/2015 consid. 3.5.2 et 3.5.3). Des exceptions demeurent possibles, charge à l'avocat de justifier l'ampleur des tâches effectuées qui dépasseraient la couverture du forfait.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ne sont pas indemnisés, en plus du fait que la déclaration d'appel n'a pas à être motivée selon les exigences du CPP. La réception et lecture de pièces, procès- 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 en particulier s’agissant de la lecture du jugement de première instance : AARP/142/2016 du</w:t>
      </w:r>
    </w:p>
    <w:p>
      <w:r>
        <w:rPr>
          <w:b/>
        </w:rPr>
        <w:t>E. 7</w:t>
      </w:r>
    </w:p>
    <w:p>
      <w:r>
        <w:t>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w:t>
      </w:r>
    </w:p>
    <w:p>
      <w:r>
        <w:t>- 11/21 - P/12216/2015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3.1.4.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peines prononcées à l'étranger, de même que celles qui y ont été exécutées renseignent au même titre que les peines prononcées et exécutées en Suisse sur les antécédents de l'auteur (arrêt du Tribunal fédéral 6B_49/2012 du 5 juillet 2012 consid. 1.1 ; ATF 105 IV 225 consid. 2 p. 226 = JdT 1980 I 456).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9</w:t>
      </w:r>
    </w:p>
    <w:p>
      <w:r>
        <w:t>juin 2016 et la nomination de son second défenseur du 13 juin 2016, le grief de l'appelante est infondé et sera écarté. Pour tous ces motifs, la peine privative de liberté de trois ans prononcée en première instance est adéquate et sera confirmée. Ainsi, tant l'appel principal que l'appel joint seront rejetés sur ce point.</w:t>
      </w:r>
    </w:p>
    <w:p>
      <w:r>
        <w:t>- 15/21 - P/12216/2015</w:t>
      </w:r>
    </w:p>
    <w:p>
      <w:r>
        <w:rPr>
          <w:b/>
        </w:rPr>
        <w:t>E. 14</w:t>
      </w:r>
    </w:p>
    <w:p>
      <w:r>
        <w:t>avril 2016 consid. 5.4.1 ; AARP/281/2015 du 25 juin 2015 ; AARP/272/2015 du 1er juin 2015). 6.2. En l'espèce, l'activité de Me B______ en appel est en adéquation avec la nature, l'importance et la difficulté de la cause, à l'exception de : - 3h30 sur les 7h30 consacrées par l'avocat stagiaire pour cinq visites au client à la prison entre le 20 septembre et le 9 décembre 2016, dès lors que seule une visite d'une durée de 1h00 par mois est admise pour l'avocat stagiaire ; - 1h15 pour des recherches juridiques et 0h30 pour une séance interne, activités non indemnisées par l'assistance juridique ; - 3h30 pour la rédaction de l'annonce et la déclaration d'appel, 0h30 pour la lecture du jugement de première instance et 3h54 pour la correspondance, ces activités étant comprises dans le forfait pour l'activité diverse. En conclusion, l'indemnité sera arrêtée à CHF 994.70 correspondant à 0h45 d'activité au tarif de CHF 200.-/heure et 9h30 au tarif de CHF 65.-/heure, compte tenu de la jurisprudence claire à ce propos, plus la majoration forfaitaire de 20% (CHF 153.50) et la TVA à 8% (CHF 73.70). * * * * *</w:t>
      </w:r>
    </w:p>
    <w:p>
      <w:r>
        <w:t>- 20/21 - P/12216/2015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