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AARP/409/2020 vom 10. Dezember 2020</w:t>
      </w:r>
    </w:p>
    <w:p>
      <w:r>
        <w:t>GE Cour de justice, 2020-12-10, FR</w:t>
      </w:r>
    </w:p>
    <w:p>
      <w:r>
        <w:rPr>
          <w:b/>
        </w:rPr>
        <w:t xml:space="preserve">Quelle: </w:t>
      </w:r>
      <w:r>
        <w:t>https://mcp.opencaselaw.ch/entscheid/ge_gerichte_AARP_409_2020</w:t>
      </w:r>
    </w:p>
    <w:p>
      <w:r>
        <w:t>FR: GE_GERICHTE AARP/409/2020 du 10 décembre 2020</w:t>
      </w:r>
    </w:p>
    <w:p>
      <w:r>
        <w:t>IT: GE_GERICHTE AARP/409/2020 del 10 dicembre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w:t>
      </w:r>
    </w:p>
    <w:p>
      <w:r>
        <w:t>- 5/11 - P/11833/2020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 rupture de ban punit celui qui aura contrevenu à une décision d'expulsion du territoire de la Confédération ou d'un canton prononcée par une autorité compétente (art. 291 CP). Sauf disposition expresse et contraire de la loi, est seul punissable l'auteur d'un crime ou d'un délit qui agit intentionnellement (art. 12 al. 1 CP).</w:t>
      </w:r>
    </w:p>
    <w:p>
      <w:r>
        <w:rPr>
          <w:b/>
        </w:rPr>
        <w:t>E. 2.3</w:t>
      </w:r>
    </w:p>
    <w:p>
      <w:r>
        <w:t>En l'espèce, la CPAR considère qu'il est établi à satisfaction de droit que l'appelant se trouvait en Suisse durant la période pénale. Il y a séjourné toute l'année précédente, jusqu'au 21 janvier 2020, et il y a été interpellé le 4 juillet suivant. A la police, il a spontanément admis les faits reprochés, n'ayant évoqué qu'un déplacement à Paris dix jours auparavant. Il s'est ensuite progressivement rétracté, en exposant devant le MP n'avoir séjourné en Suisse que d'avril à juin, puis en affirmant en première instance avoir résidé seulement en France et en Espagne. Il n'a cependant ni justifié ni étayé son revirement progressif, lequel ne trouve aucun appui dans le dossier et n'apparaît guidé que par une nouvelle stratégie de défense. Le renforcement des contrôles aux frontières du 13 mars au 15 juin 2020 est sans influence sur sa culpabilité. L'appelant a séjourné pour le moins la plupart du temps en Suisse depuis 2011 et a admis n'avoir aucune intention de rentrer en Algérie. Ses déclarations inconsistantes selon lesquelles il souhaiterait désormais vivre en France ou en Espagne et "peut-être" y travailler sont dépourvues de crédibilité. Il est ainsi établi qu'il avait l'intention de demeurer en Suisse indépendamment des mesures prises aux frontières dans le cadre de la crise sanitaire. Sa culpabilité du chef de rupture de ban doit donc être retenue en lien avec l'intégralité de la période pénale.</w:t>
      </w:r>
    </w:p>
    <w:p>
      <w:r>
        <w:rPr>
          <w:b/>
        </w:rPr>
        <w:t>E. 3</w:t>
      </w:r>
    </w:p>
    <w:p>
      <w:r>
        <w:t>Le vol et la rupture de ban sont punis soit d'une peine privative de liberté de cinq ou trois ans au plus, soit d'une peine pécuniaire (art. 139 et 291 CP).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w:t>
      </w:r>
    </w:p>
    <w:p>
      <w:r>
        <w:t>- 6/11 - P/11833/2020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3.2</w:t>
      </w:r>
    </w:p>
    <w:p>
      <w:r>
        <w:t>Sauf disposition contraire, la peine pécuniaire est de trois jours-amende au moins et ne peut excéder 180 jours-amende (art. 34 al. 1 CP).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w:t>
      </w:r>
    </w:p>
    <w:p>
      <w:r>
        <w:rPr>
          <w:b/>
        </w:rPr>
        <w:t>E. 3.3</w:t>
      </w:r>
    </w:p>
    <w:p>
      <w:r>
        <w:t>Selon l’art. 49 al. 1 CP, 1ère phrase, si, en raison d’un ou de plusieurs actes, l’auteur remplit les conditions de plusieurs peines de même genre, le juge le condamne à la peine de l’infraction la plus grave et l’augmente dans une juste proportion.</w:t>
      </w:r>
    </w:p>
    <w:p>
      <w:r>
        <w:rPr>
          <w:b/>
        </w:rPr>
        <w:t>E. 3.4</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3.5</w:t>
      </w:r>
    </w:p>
    <w:p>
      <w:r>
        <w:t>En l'espèce, la faute de l'appelant en relation avec le vol est assez grave dans la mesure où il s'en est pris au patrimoine d'autrui par appât du gain facile, prêt à</w:t>
      </w:r>
    </w:p>
    <w:p>
      <w:r>
        <w:t>- 7/11 - P/11833/2020 s'approprier tout objet de valeur qu'il trouverait dans le véhicule de la partie plaignante. Dès lors qu'il vivait en Suisse depuis près de dix ans en ayant manifestement trouvé le moyen de subvenir à ses besoins sans exercer d'activité lucrative, notamment en bénéficiant de l'aide d'organismes sociaux, il ne lui était pas nécessaire de commettre ce vol pour survivre. Il a d'emblée admis les faits, mais cette attitude ne présente pas de mérite particulier dans le cas d'un flagrant délit. Ses antécédents spécifiques sont nombreux et le dernier n'est antérieur aux faits que de cinq mois. Il ne ressort du dossier aucune réelle volonté de l'appelant de s'amender. Il refuse de rentrer en Algérie et il n'y a pas de raison de croire qu'il souhaiterait désormais vraiment vivre en France ou en Espagne, où il n'est même pas sûr de vouloir travailler. Il n'a du reste pas non plus le droit de séjourner dans ces pays. La faute de l'appelant afférente à la rupture de ban est grave au vu non seulement de la période pénale de cinq mois, mais surtout de l'absence de toute mesure prise par ce dernier pour quitter la Suisse. Or, l'expulsion en cause, dont il a été dûment informé, date de mai 2018. Une telle attitude témoigne d'un profond dédain à l'égard de l'autorité judiciaire. Sa collaboration a été mauvaise. Alors qu'il avait admis les faits, il a cherché à relativiser sa faute en contestant d'abord partiellement puis entièrement sa présence en Suisse durant la période pénale. C'est de mauvaise foi qu'il se prévaut en appel des mesures prises aux frontières en conséquence de la crise sanitaire. Il a déjà été condamné pour rupture de ban, en lien avec toute l'année précédente et, pour les raisons susmentionnées, ses perspectives d'amendement sont inexistantes en l'état. Quelle que soit la quotité de la peine, une peine pécuniaire est exclue au double motif que même les courtes peines privatives de liberté précédemment prononcées n'ont eu aucun effet dissuasif sur l'appelant et que celui-ci n'a jamais exercé d'activité lucrative depuis son arrivée en Suisse. Au vu des éléments qui précèdent, l'infraction de vol, objectivement la plus grave, peut être sanctionnée d'une peine privative de liberté de quatre mois, étant rappelé que toutes les courtes peines précédemment prononcées n'ont pas influencé le comportement de l'appelant. Il n'y a pas lieu d'atténuer la peine pour tenir compte de la forme de la tentative retenue par le premier juge dans la mesure où, au moment de son interpellation, l'appelant avait déjà ouvert le véhicule de la partie plaignante et commencé à y dérober des objets de valeur. Une extension à huit mois est justifiée par l'effet aggravant du concours avec la rupture de ban. Le jugement querellé sera donc confirmé sur ce point. Le caractère ferme de la peine n'est pas remis en cause avec raison. Au vu des nombreux antécédents de l'appelant et de l'absence de perspective d'amendement, son pronostic s'avère particulièrement défavorable.</w:t>
      </w:r>
    </w:p>
    <w:p>
      <w:r>
        <w:t>- 8/11 - P/11833/2020 3.6.1. La comparaison d'une peine d'espèce avec celle prononcée dans d'autres cas concrets est d'emblée délicate, compte tenu des nombreux paramètres qui interviennent dans la fixation de la peine. Il ne suffit d'ailleurs pas que le recourant puisse citer un ou deux cas où une peine particulièrement clémente a été fixée pour prétendre à un droit à l'égalité de traitement (ATF 141 IV 61 consid. 6.3.2). La comparaison est généralement stérile, dès lors qu'il existe presque toujours des différences entre les circonstances, objectives et subjectives, que le juge doit prendre en considération dans chacun des cas (arrêts du Tribunal fédéral 6B_963/2019 du</w:t>
      </w:r>
    </w:p>
    <w:p>
      <w:r>
        <w:rPr>
          <w:b/>
        </w:rPr>
        <w:t>E. 6</w:t>
      </w:r>
    </w:p>
    <w:p>
      <w:r>
        <w:t>consid. 6.1). 3.1.2. 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(ATF 137 IV 113 consid. 1.4.2). Sa mesure, si admise, dépend en outre de la proximité du résultat ainsi que des conséquences effectives des actes commis (ATF 127 IV 101 consid. 2b).</w:t>
      </w:r>
    </w:p>
    <w:p>
      <w:r>
        <w:rPr>
          <w:b/>
        </w:rPr>
        <w:t>E. 8</w:t>
      </w:r>
    </w:p>
    <w:p>
      <w:r>
        <w:t>octobre 2019 consid. 3.3.1 et 6B_138/2019 du 6 août 2019 consid. 3.1.1). 3.6.2. Au vu de cette jurisprudence, la référence de l'appelant à un seul précédent relatif à une condamnation pour rupture de ban à une peine privative de liberté inférieure, malgré trois antécédents spécifiques, est vaine. L'arrêt AARP/253/2019 en cause concerne en outre un cas où seule l'infraction de rupture de ban était en jeu, sans concours avec un crime, et où la période pénale était limitée à 15 jours. 4. Les motifs ayant conduit le premier juge à prononcer, par ordonnance séparée du 31 août 2020, le maintien de l'appelant en détention pour des motifs de sûreté sont toujours d'actualité, ce que celui-ci ne conteste au demeurant pas, de sorte que la mesure sera reconduite mutatis mutandis (ATF 139 IV 277 consid. 2.2 à 2.3). 5. L'appelant, qui succombe, supportera les frais de la procédure envers l'État (art. 428 CPP), comprenant un émolument de CHF 1'200.- (art. 14 al. 1 let. e du règlement fixant le tarif des frais en matière pénale [RTFMP]). 6. Considéré globalement, l'état de frais produit par Me C______, défenseur d'office, satisfait les exigences légales et jurisprudentielles régissant l'assistance judiciaire gratuite en matière pénale.</w:t>
      </w:r>
    </w:p>
    <w:p>
      <w:r>
        <w:t>Sa rémunération sera partant arrêtée à CHF 1'440.-, correspondant à six heures d'activité au tarif de CHF 200.-/heure plus la majoration forfaitaire de 20%.</w:t>
      </w:r>
    </w:p>
    <w:p>
      <w:r>
        <w:t>* * * * *</w:t>
      </w:r>
    </w:p>
    <w:p>
      <w:r>
        <w:t>- 9/11 - P/11833/2020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