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AARP/409/2015 vom 28. September 2015</w:t>
      </w:r>
    </w:p>
    <w:p>
      <w:r>
        <w:t>GE Cour de justice, 2015-09-28, FR</w:t>
      </w:r>
    </w:p>
    <w:p>
      <w:r>
        <w:rPr>
          <w:b/>
        </w:rPr>
        <w:t xml:space="preserve">Quelle: </w:t>
      </w:r>
      <w:r>
        <w:t>https://mcp.opencaselaw.ch/entscheid/ge_gerichte_AARP_409_2015</w:t>
      </w:r>
    </w:p>
    <w:p>
      <w:r>
        <w:t>FR: GE_GERICHTE AARP/409/2015 du 28 septembre 2015</w:t>
      </w:r>
    </w:p>
    <w:p>
      <w:r>
        <w:t>IT: GE_GERICHTE AARP/409/2015 del 28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- 8/15 - P/347/2010</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non plus à ne retenir qu'une partie des déclarations d'un témoin globalement crédible (ATF 120 Ia 31 consid. 3 spéc. p. 39). 2.2.1.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soit une personne âgée de moins de 18 ans, un devoir d'assistance,</w:t>
      </w:r>
    </w:p>
    <w:p>
      <w:r>
        <w:t>- 9/15 - P/347/2010 c'est-à-dire de protection, ou un devoir d'éducation, c'est-à-dire d'assurer le développement - sur le plan corporel, spirituel et psychique - du mineur. Sont notamment des garants les parents naturels (ATF 125 IV 64 consid. 1a p. 68 s.). Le garant est tenu avant tout de fournir la nourriture, l'habillement, l'entretien, l'hébergement et la formation, les besoins culturels et sportifs de l'enfant et la tendresse dont il a besoin (M. DUPUIS / B. GELLER / G. MONNIER / L. MOREILLON / C. PIGUET / C. BETTEX / D. STOLL (éds), Code pénal - Petit commentaire, Bâle 2012, n. 8 ad art. 319).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 dans le second cas, l'auteur manque passivement à son obligation, par exemple en abandonnant l'enfant, en négligeant de lui donner des soins ou en ne prenant pas, face à un danger, les mesures de sécurité qui s'imposent. (ATF 125 IV 64 consid. 1a p. 69 ; arrêts du Tribunal fédéral 6B_457/2013 du 29 octobre 2013 consid. 1.1.2 et 6B_539/2010 du 30 mai 2011 consid. 4.2).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 125 IV 64 consid. 1a p. 69). Sur le plan subjectif, l'auteur peut avoir agi intentionnellement - dans ce cas, le dol éventuel suffit - ou par négligence (ATF 125 IV 64 consid. 1a). 2.2.2.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du</w:t>
      </w:r>
    </w:p>
    <w:p>
      <w:r>
        <w:t>- 10/15 - P/347/2010 Tribunal fédéral 6B_457/2013 du 29 octobre 2013 consid. 1.2 et 6B_539/2010 du 30 mai 2011 consid. 4.2 avec les références à la doctrine). Dans un arrêt 6B_150/2012 du 14 mai 2012, le Tribunal fédéral a confirmé la condamnation d'une mère qui avait poussé sa fille contre les meubles, lui avait tiré les cheveux, l'avait griffée et menacée de la mettre à la porte, de l'emmener dans un foyer, de lui couper ses habits ou de tuer ses rats. La mère avait également exercé une pression psychologique sur sa fille et l'avait disputée pour n'importe quel prétexte. Elle lui avait répété qu'elle n'était pas chez elle et qu'elle avait l'interdiction de verrouiller la porte de sa chambre ou celle des toilettes. Il lui était arrivé quelques fois de la réveiller en pleine nuit pour lui faire des reproches et l'insulter. Ces disputes étaient survenues une fois par semaine environ d'abord puis, durant la dernière année de leur vie commune, elles étaient devenues quotidiennes. La violation d'un devoir d'assistance ou d'éducation est une infraction qui entre souvent en concours (idéal ou imparfait) avec celles contre l'intégrité physique (voir par ex. arrêts du Tribunal fédéral 6B_498/2008 du 18 août 2008 [violences physiques répétées] ; 6S.273/2004 du 24 septembre 2004 [coups répétés sur la tête sanctionnant les bêtises commises]) ou l'intégrité sexuelle (voir par ex. ATF 126 IV 136 [abus sexuels commis sur une jeune fille au pair] ; arrêt de la Chambre pénale d'appel et de révision AARP/268/2012 du 10 septembre 2012 [actes d'ordre sexuel commis par un père sur sa fille]), caractéristiques des maltraitances subies par des enfants.</w:t>
      </w:r>
    </w:p>
    <w:p>
      <w:r>
        <w:rPr>
          <w:b/>
        </w:rPr>
        <w:t>E. 2.3</w:t>
      </w:r>
    </w:p>
    <w:p>
      <w:r>
        <w:t>En l'espèce, les déclarations constantes de la partie plaignante quant à l'existence d'insultes de la part de son père durant les années 2008 et 2009 et, plus particulièrement, quant à l'emploi des termes de "merde", "conne" et de l'expression "tu vas manger de la merde", sont corroborées par un ensemble d'indices, voire même, du moins s'agissant de leur utilisation à une reprise, par l'appelant lui-même. Sa justification culturelle de l'emploi des derniers propos laisse perplexe ; celle relative à l'usage du mot "conne" ne permet pas d'écarter l'éventualité d'autres incidences, au contraire vu la facilité avec laquelle il a recouru à ce terme. Le rapport d'intervention des HUG du 30 novembre 2008 atteste d'un épisode psychologiquement éprouvant pour la partie plaignante du fait du comportement de l'appelant. Le témoignage de la psychologue H______ vient confirmer une période difficile entre le père et sa fille. Le départ du domicile familial à 17 ans, non contesté, s'accorde avec l'existence d'une pression psychologique exprimée au travers d'insultes et propos blessants. L'instrumentalisation de la part de la mère est une hypothèse peu probable, au demeurant écartée par la psychologue entendue, concernant une jeune femme majeure au moment du dépôt de sa plainte, dont celle-ci n'avait aucun bénéfice à retirer. Enfin, la stratégie de défense de l'appelant, consistant à dépeindre la mère de ses enfants comme l'unique responsable de tous les maux de la famille, alors que les rapports du SPMI attestent d'une gestion pour le moins</w:t>
      </w:r>
    </w:p>
    <w:p>
      <w:r>
        <w:t>- 11/15 - P/347/2010 difficile du conflit de part et d'autre, est révélatrice de son incapacité à admettre ses torts, rendant ses dénégations peu crédibles. Le SPMI a d'ailleurs relevé l'écart existant entre la perception de la situation par l'appelant et le ressenti des enfants, ce que l'hospitalisation de sa fille E______, à l'issue d'une journée "sans incidents" selon ses dires, illustre. Ainsi, même en écartant les déclarations de la mère de la partie plaignante, dont l'appelant relève à raison qu'elles ne présentent pas tous les gages de l'objectivité vu le conflit les opposant, et le contenu de la lettre du fils aîné, qui n'a pas été entendu, la CPAR est convaincue de la réalité des insultes et paroles blessantes prononcées par l'appelant dans le courant 2008/2009, soit pendant le conflit parental. En raison de l'imprécision des déclarations de la partie plaignante, qui évoque des "violences verbales" sans référence à des propos précis sinon un renvoi aux termes déjà évoqués, sans contexte, sans exemples concrets, et en faisant référence à des périodes variables – entre 14 et 17 ans ou entre 12 et 17 ans –, la CPAR ne peut retenir qu'il en a été de même au cours des années précédentes, même en tenant compte de l'influence du temps sur la mémoire. Le témoignage de la psychologue H______ tend d'ailleurs à confirmer que les insultes et menaces ont été principalement, sinon exclusivement, proférées dans le contexte de la séparation des parents, la psychologue liant les violences verbales dont lui faisait état la partie plaignante au chantage exercé par le père sur sa fille pour qu'elle prenne parti dans le conflit des adultes. Au vu de ce qui précède, la CPAR retient que les faits tels qu'ils ressortent de l'ordonnance pénale valant acte d'accusation ne sont pas établis pour la période allant de 2002 à 2007. En l'absence d'autres éléments caractérisant une violation des devoirs éducatifs, tels que manque de soins, ostracisme de l'enfant, brimades continuelles, violences physiques, les propos tenus au cours des années 2008 et 2009, pour inappropriés et blessants qu'ils soient venant de la part d'un père, n'atteignent pas un degré d'intensité et une fréquence propres à mettre en danger le développement psychique. Certes les mots des parents ont une grande incidence sur l'opinion qu'un enfant se forge de lui-même. Quelques occurrences sur une courte période ne semblent toutefois pas à même de détruire l'estime de soi au point que le développement de l'enfant en soit compromis. Si une référence à un résultat concret n'est pas pertinente pour évaluer cette condition de l'infraction, force est d'admettre que cette absence de mise en danger trouve sa confirmation dans le cas d'espèce, la partie plaignante connaissant un développement harmonieux, illustré par la poursuite de ses études, étant précisé que le certificat médical du 29 novembre 2010 ne lie pas directement les souffrances ressenties à cette période-là aux propos du père. Pour les motifs qui précèdent, l'appelant sera acquitté de l'infraction de violation du devoir d'assistance ou d'éducation, étant relevé que si certains des propos tenus</w:t>
      </w:r>
    </w:p>
    <w:p>
      <w:r>
        <w:t>- 12/15 - P/347/2010 évoquent l'infraction d'injure (art. 177 CP), la plainte de novembre 2009 paraît tardive (art. 31 CP), le dernier épisode relaté remontant à mai 2009.</w:t>
      </w:r>
    </w:p>
    <w:p>
      <w:r>
        <w:rPr>
          <w:b/>
        </w:rPr>
        <w:t>E. 3.1</w:t>
      </w:r>
    </w:p>
    <w:p>
      <w:r>
        <w:t>En vertu de l'art. 126 al. 1 let. b CPP, le tribunal statue sur les prétentions civiles présentées lorsqu'il acquitte le prévenu et que l'état de fait est suffisamment établi.</w:t>
      </w:r>
    </w:p>
    <w:p>
      <w:r>
        <w:t>3.2.1.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w:t>
      </w:r>
    </w:p>
    <w:p>
      <w:r>
        <w:t>- 13/15 - P/347/2010 3.2.2. Lorsque l'indemnisation se fait sous la forme d'un capital, le demandeur a droit aux intérêts de celui-ci. Ces intérêts, dont le taux s'élève à 5% (art. 73 CO), courent en principe à partir du jour de l'évènement dommageable et ce, jusqu'au moment de la capitalisation. Lorsque les actes à l'origine du tort moral se répètent pendant une certaine durée, il y a lieu, en l'absence de circonstances particulières, de se fonder sur un moment situé au milieu du laps de temps considéré (L. THÉVENOZ / F. WERRO (éds), Commentaire romand : Code des obligations I, 2e éd., Bâle 2012, n. 22 ad art. 47 CO).</w:t>
      </w:r>
    </w:p>
    <w:p>
      <w:r>
        <w:rPr>
          <w:b/>
        </w:rPr>
        <w:t>E. 3.3</w:t>
      </w:r>
    </w:p>
    <w:p>
      <w:r>
        <w:t>En l'espèce, l'acquittement de l'appelant repose sur des motifs juridiques, la CPAR tenant pour établie l'existence d'insultes durant les années 2008 et 2009. Sans constituer une mise en danger du développement psychique de son enfant, le comportement de l'appelant était à même de porter une atteinte objectivement grave à la personnalité de la partie plaignante, le suivi psychologique dont elle a eu besoin au cours de l'année 2008/2009 et ses propos à l'audience de jugement attestant par ailleurs de la souffrance effectivement ressentie. Au vu de ce qui précède, les conditions d'une réparation du tort moral sont réunies. Le montant alloué par le premier juge à ce titre sera confirmé, l'ampleur des souffrances exprimées par la partie plaignante ne justifiant pas de le revoir à la baisse, ce que l'appelant ne prétend au demeurant pas. L'indemnité pour tort moral de CHF 1'000.- arrêtée par le premier juge sera partant confirmée, les intérêts courant à compter du 1er janvier 2009, date moyenne des actes à l'origine du tort moral.</w:t>
      </w:r>
    </w:p>
    <w:p>
      <w:r>
        <w:rPr>
          <w:b/>
        </w:rPr>
        <w:t>E. 4</w:t>
      </w:r>
    </w:p>
    <w:p>
      <w:r>
        <w:t>L'appel ayant été admis, les frais de la procédure seront laissés à la charge de l’Etat.</w:t>
      </w:r>
    </w:p>
    <w:p>
      <w:r>
        <w:t>Le jugement entrepris sera annulé dans la mesure où il a condamné l'appelant à payer à la partie plaignante CHF 1'499.50 à titre de dépenses obligatoires occasionnées par la procédure (art. 433 CPP a contrario). Dûment interpellé, l'appelant n'a pas fait valoir de prétentions en indemnisation fondées sur l'art. 429 CPP, de sorte qu'il sera retenu qu'il y a implicitement renoncé (cf. arrêts du Tribunal fédéral 6B_842/2014 du 3 novembre 2014 consid. 2.1 et 6B_472/2012 du 13 novembre 2012 consid. 2.4).</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w:t>
      </w:r>
    </w:p>
    <w:p>
      <w:r>
        <w:t>- 14/15 - P/347/2010 Au regard de ce qui précède, la CPAR n'est compétente, au sens de l'art. 135 al. 2 CPP, que pour statuer sur l'activité postérieure à sa saisine, soit en l'espèce le 23 décembre 2014. Me X______ est en conséquence invité à solliciter du Tribunal de police son indemnisation pour les activités déployées en première instance.</w:t>
      </w:r>
    </w:p>
    <w:p>
      <w:r>
        <w:rPr>
          <w:b/>
        </w:rPr>
        <w:t>E. 5.2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En l'espèce, l'état de frais de Me X______, conseil juridique gratuit de B______, sera admis à concurrence de 3h30 d'activité du chef d'étude, soit une réduction de 4h20 par rapport aux heures annoncées, excessives au regard de la nature peu complexe de l'affaire, de la connaissance préalable du dossier par Me X______ et du caractère circonscrit de son activité en appel (rédaction d'un mémoire de réponse de 2 pages et demie). Le montant des honoraires de Me X______ sera par conséquent arrêté à CHF 907.20 (indemnisation forfaitaire de 20% [CHF 140.-] et TVA [CHF 67.20] comprises). * * * * *</w:t>
      </w:r>
    </w:p>
    <w:p>
      <w:r>
        <w:t>- 15/15 - P/347/2010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