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AARP/408/2018 vom 12. Dezember 2018</w:t>
      </w:r>
    </w:p>
    <w:p>
      <w:r>
        <w:t>GE Cour de justice, 2018-12-12, FR</w:t>
      </w:r>
    </w:p>
    <w:p>
      <w:r>
        <w:rPr>
          <w:b/>
        </w:rPr>
        <w:t xml:space="preserve">Quelle: </w:t>
      </w:r>
      <w:r>
        <w:t>https://mcp.opencaselaw.ch/entscheid/ge_gerichte_AARP_408_2018</w:t>
      </w:r>
    </w:p>
    <w:p>
      <w:r>
        <w:t>FR: GE_GERICHTE AARP/408/2018 du 12 décembre 2018</w:t>
      </w:r>
    </w:p>
    <w:p>
      <w:r>
        <w:t>IT: GE_GERICHTE AARP/408/2018 del 12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 présomption d'innocence, garantie par les art. 14 § 2 du Pacte international relatif aux droits civils et politiques du 16 décembre 1966 (Pacte II ; RS 0.103.2),</w:t>
      </w:r>
    </w:p>
    <w:p>
      <w:r>
        <w:rPr>
          <w:b/>
        </w:rPr>
        <w:t>E. 2.2</w:t>
      </w:r>
    </w:p>
    <w:p>
      <w:r>
        <w:t>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 3. 3.1.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w:t>
      </w:r>
    </w:p>
    <w:p>
      <w:r>
        <w:t>- 7/15 - P/3007/2017 n'ont pas d'autres conséquences qu'un trouble passager et sans importance du sentiment de bien-être (ATF 134 IV 189 consid. 1.1. p. 191 ; 107 IV 40 consid. 5c p. 42 ; 103 IV 65 consid. 2c p. 70).</w:t>
      </w:r>
    </w:p>
    <w:p>
      <w:r>
        <w:t>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 Une éraflure au nez avec contusion a été considérée comme une voie de fait ; de même une meurtrissure au bras et une douleur à la mâchoire sans contusion (ATF 134 IV 189 consid. 1.3 p. 191 et les référence). Ont également été qualifiés de voies de fait notamment une gifle, un coup de poing ou de pied ainsi que de fortes bourrades avec les mains ou les coudes (arrêts du Tribunal fédéral 6B_693/2017 du 24 août 2017 consid. 2.1 ; 6B_1009/2014 du 2 avril 2015 consid. 4.2).</w:t>
      </w:r>
    </w:p>
    <w:p>
      <w:r>
        <w:t>3.3.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w:t>
      </w:r>
    </w:p>
    <w:p>
      <w:r>
        <w:t>3.4. En l'occurrence, les déclarations de l'intimé sont constantes et cohérentes. Contraint à intervenir physiquement face au refus de l'appelant de quitter l'établissement malgré sa fermeture, celui-ci lui a opposé une résistance violente qui lui a notamment causé des blessures non contestées et établies par les pièces au dossier.</w:t>
      </w:r>
    </w:p>
    <w:p>
      <w:r>
        <w:t>L'appelant prétend s'être senti agressé et avoir réagi par réflexe, soit avoir glissé. Force est pourtant de constater qu'il a admis avoir été en colère ainsi qu'avoir insulté l'intimé et lancé des bouteilles en verre dans sa direction, ce qui témoigne plutôt d'un comportement intentionnel agressif. A cet égard, il est relevé que l'appelant a reconnu avoir déchiré la veste de l'intimé, soit avoir commis l'infraction intentionnelle de dommage à la propriété. Devant le Ministère public, il a de surplus reconnu que les faits s'étaient déroulés "à peu près" de la manière dont ils avaient été présentés par l'intimé. La nécessité de l'intervention de plusieurs personnes, ce qu'admet l'appelant, démontre que son attitude était opposante et que l'altercation physique ne peut résulter d'une simple glissade. On ne voit au demeurant pas pour quelles raisons la sécurité du bar serait intervenue auprès de l'appelant si celui-ci s'était effectivement dirigé vers la sortie, comme il l'affirme. En particulier, l'intimé n'avait aucune raison de l'interpeller sans motif et créer ainsi une situation à risque, vu notamment l'état d'ébriété de son interlocuteur. De surcroît, l'intimé n'a pas</w:t>
      </w:r>
    </w:p>
    <w:p>
      <w:r>
        <w:t>- 8/15 - P/3007/2017 essayé d'accabler inutilement l'appelant, précisant au contraire que les menaces de celui-ci ne l'avaient pas effrayé, que le coup reçu n'avait pas provoqué de séquelles et que la valeur de la veste était inférieure à CHF 300.-. De surcroît, l'appelant a eu des versions des faits contradictoires soutenant dans un premier temps que c'est l'intimé qui avait glissé et chuté, avant d'indiquer que c'était lui-même qui, en glissant, avait provoqué leur chute. Il sera ainsi retenu que l'appelant a fait tomber l'intimé en le tirant violement et lui causant de la sorte des blessures au poignet et au pouce droits qu'il a à tout le moins acceptées en déséquilibrant l'agent de sécurité dont il tentait de se débarrasser. Il a également porté un coup au visage de l'intimé. Ces blessures, qui ont provoqué un arrêt de travail d'une durée non négligeable, une suspicion de fracture de scaphoïde ayant en outre été relevée dans le certificat médical, correspondent à des lésions corporelles simples au sens de l'art. 123 CP, ce que l'appelant ne conteste pas expressément. Ses allégations, selon lesquelles il s'agissait d'un malentendu suivi d'un accident, apparaissent comme circonstancielles. Le verdict de culpabilité du premier juge sera ainsi confirmé et l'appel rejeté.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4.2. Les nouvelles dispositions sur le droit des sanctions sont entrées en vigueur le 1er janvier 2018, réforme qui marque incontestablement un durcissement. La peine pécuniaire est désormais limitée à 180 jours (art. 34 al. 1 CP). Le prononcé d’une peine privative de liberté même courte est possible si cette sanction paraît justifiée</w:t>
      </w:r>
    </w:p>
    <w:p>
      <w:r>
        <w:t>- 9/15 - P/3007/2017 pour détourner l’auteur d’autres crimes ou délits ou s’il y a lieu de craindre qu’une peine pécuniaire ne puisse pas être exécutée, sans que les conditions du sursis doivent être exclues (art. 41 al. 1 CP). La novelle est en l'occurrence plus sévère sur et ne sera par conséquent pas prise en considération (art. 2 al. 2 CP), l'ancien droit étant applicable en l'espèce (M. DUPUIS / L. MOREILLON / C. PIGUET / S. BERGER / M. MAZOU / V. RODIGARI, Code pénal, Petit Commentaire, Bâle 2017, n. 6 des rem. prél. ad art. 34 à 41). 4.3.1. 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4.3.2.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 4.4.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4.5. 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vise le concours réel rétrospectif, qui se présente lorsque l'accusé, qui a déjà été condamné pour une infraction, doit être jugé pour une autre infraction commise avant le premier jugement, mais que le tribunal ignorait. Elle enjoint au juge de déterminer d'abord quelle peine d'ensemble aurait été prononcée si toutes les infractions avaient été jugées simultanément, afin de prononcer une peine</w:t>
      </w:r>
    </w:p>
    <w:p>
      <w:r>
        <w:t>- 10/15 - P/3007/2017 complémentaire ou additionnelle ("Zusatzstrafe"), qui est constituée de la différence entre cette peine d'ensemble et la peine de base, à savoir celle fixée précédemment (ATF 141 IV 61 consid. 6.1.2 p. 67 ; arrêt du Tribunal fédéral 6B_623/2016 du 25 avril 2017 consid. 1.1 et 1.4). Elle permet à l'auteur qui encourt plusieurs peines privatives de liberté de bénéficier du principe de l'aggravation, indépendamment du fait que la procédure s'est ou non déroulée en deux temps (ATF 142 IV 329 consid. 1.4.1 p. 331 ; 142 IV 265 consid. 2.3 p. 268 ; 141 IV 61 consid. 6.1.2 p. 67 ; 138 IV 113 consid. 3.4.1 p. 115 et les références citées ; arrêt du Tribunal fédéral 6B_952/2016, 6B_962/2016 du 29 août 2017 consid. 4.1). Est toutefois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 p 115 ss = JdT 1913 IV 64 ; 129 IV 113 consid. 1.1 s. p. 115 s. ; R. ROTH / L. MOREILLON, Code pénal I : art. 1-100 CP, Bâle 2009, n. 84 ad art. 49). En cas de concours entre plusieurs contraventions, le principe d'aggravation est en général applicable (M. DUPUIS / L. MOREILLON / C. PIGUET / S. BERGER / M. MAZOU / V. RODIGARI, op. cit., n. 17 ad art. 49). Les règles du concours rétrospectif sont également applicables en cas d'amendes (M. NIGGLI / H. WIPRÄCHTIGER, Basler Kommentar Strafrecht I : Art. 1-110 StGB, Jugendstrafgesetz, 3e éd., Bâle 2013, n. 131 ad art. 49 et 13 ad art. 104). 4.6. L'appelant ne conteste la peine ni dans sa nature, ni dans sa quotité, hormis le fait qu'il relève son caractère complémentaire à des précédentes sanctions. La faute de l'appelant est d'une certaine importance. Il s'en est pris à de nombreux biens juridiques, dont notamment l'intégrité corporelle, le patrimoine, l'honneur et la santé publique, ce qui témoigne d'un mépris certain des normes de comportement en vigueur. Sa collaboration a été moyenne. Il a certes notamment reconnu les infractions à la LEtr, mais pouvait difficilement faire autrement au vu des circonstances de ses interpellations. L'appelant s'est toutefois obstiné à prétendre s'"s'être senti agressé" par l'intimé et à présenter des explications dénuées de crédibilité s'agissant des lésions corporelles qu'il lui a causées. Sa prise de conscience est ainsi limitée. La CPAR se réfère pour le surplus aux considérants et aux développements du premier juge (art. 82 al. 4 CPP). Il y a toutefois lieu de prononcer des peines complémentaires, dans la mesure où il existe un concours réel rétrospectif avec les condamnations des 14 mai et 9 août 2018.</w:t>
      </w:r>
    </w:p>
    <w:p>
      <w:r>
        <w:t>- 11/15 - P/3007/2017 Quant à la peine privative de liberté, il convient de préciser que le présent séjour illégal ne relève pas d'une intention délictuelle différente des cas précédents, l'appelant ayant résidé en Suisse avec des interruptions négligeables depuis fin décembre 2016. La quotité de la peine privative de liberté doit dès lors être fixée en tenant également compte des peines déjà subies par l'appelant en raison d'infractions à la LEtr. Eu égard à l'ensemble des éléments pertinents, dont notamment l'importance relative de chaque infraction dont l'appelant a été reconnu coupable, la peine privative de liberté prononcée par le premier juge apparait frapper trop lourdement l'appelant. Une peine privative de liberté complémentaire de 80 jours sera ainsi prononcée. Au vu de ses antécédents, seul un pronostic défavorable peut être envisagé, de sorte que le sursis n'entre pas en ligne de compte. S'agissant de la peine pécuniaire, l'examen du casier judiciaire et le fait que la peine pécuniaire prononcée le 9 août 2018 ait été déclarée complémentaire à celle du 14 mai 2018 amènent la CPAR à prononcer une peine pécuniaire complémentaire s'élevant à cinq jours-amende, le montant du jour-amende étant acquis à l'appelant (art. 391 al. 2 CPP). L'appelant a été condamné pour infraction à l'art. 19a LStup le 9 août 2018 par le Tribunal de police, si bien qu'il se justifie de réduire l'amende à CHF 50.-, la peine privative de liberté de substitution étant maintenue à un jour. Le jugement querellé sera ainsi réformé. 5. 5.1.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5.2.1. Compte tenu de la confirmation du verdict de culpabilité prononcé par le Tribunal de police, la peine n'ayant été que réduite, il n'y a pas lieu de revoir les frais fixés par le tribunal de première instance. En effet, la réduction de la peine en appel en raison d'un motif certes soutenu, mais examiné d'office par la CPAR, à savoir le concours rétrospectif, ne saurait justifier leur modification (art. 428 al. 3 CPP). 5.2.2. En appel, le prévenu succombe pour l'essentiel, la peine n'étant que légèrement réduite. Il se justifie partant de lui faire supporter 4/5èmes des frais de la procédure, qui comprennent un émolument de CHF 1'500.-, le solde étant laissé à charge de l'Etat (art. 14 al. 1 let. e du règlement fixant le tarif des frais en matière pénale [RTFMP - E 4 10.03] et 428 al. 2 let. b CPP).</w:t>
      </w:r>
    </w:p>
    <w:p>
      <w:r>
        <w:rPr>
          <w:b/>
        </w:rPr>
        <w:t>E. 6</w:t>
      </w:r>
    </w:p>
    <w:p>
      <w:r>
        <w:t>ch. 2 de la Convention de sauvegarde des droits de l'homme et des libertés</w:t>
      </w:r>
    </w:p>
    <w:p>
      <w:r>
        <w:t>- 6/15 - P/3007/2017 fondamentales du 4 novembre 1950 (CEDH ; RS 0.101), 32 al. 1 de la Constitution fédérale de la Confédération suisse du 18 avril 1999 (Cst. ; RS 101) et 10 al. 3 CPP, ainsi que son corollaire, le principe in dubio pro reo, concernent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rPr>
          <w:b/>
        </w:rPr>
        <w:t>E. 6.1</w:t>
      </w:r>
    </w:p>
    <w:p>
      <w:r>
        <w:t>Les frais imputables à la défense d'office ou à l'assistance juridique gratuite pour la partie plaignante sont des débours (art. 422 al. 2 let. a CPP) qui constituent des</w:t>
      </w:r>
    </w:p>
    <w:p>
      <w:r>
        <w:t>- 12/15 - P/3007/2017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 4.4) : avocat stagiaire CHF 110.- (let. a) et chef d'étude CHF 200.- (let. c).</w:t>
      </w:r>
    </w:p>
    <w:p>
      <w:r>
        <w:t>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L'état de frais produit par Me B______, défenseure d'office de A______, est adéquat et conforme aux principes exposés. L'indemnité qui lui est due sera ainsi arrêtée à CHF 970.- correspondant à 1h d'activité au tarif de CHF 200.-/heure, plus une majoration forfaitaire de 20% (CHF 40.-) et l'équivalent de la TVA au taux de 8%, en CHF 19.20 (CHF 259.20), ainsi que 5h au tarif de CHF 110.- (CHF 550.-), plus une majoration forfaitaire de 20% (CHF 110.-) et l'équivalent de la TVA au taux de 7.7%, en CHF 50.80 (710.80). * * * * *</w:t>
      </w:r>
    </w:p>
    <w:p>
      <w:r>
        <w:t>- 13/15 - P/3007/2017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