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AARP/403/2025 vom 26. August 2025</w:t>
      </w:r>
    </w:p>
    <w:p>
      <w:r>
        <w:t>GE Cour de justice, 2025-08-26, FR</w:t>
      </w:r>
    </w:p>
    <w:p>
      <w:r>
        <w:rPr>
          <w:b/>
        </w:rPr>
        <w:t xml:space="preserve">Quelle: </w:t>
      </w:r>
      <w:r>
        <w:t>https://mcp.opencaselaw.ch/entscheid/ge_gerichte_AARP_403_2025</w:t>
      </w:r>
    </w:p>
    <w:p>
      <w:r>
        <w:t>FR: GE_GERICHTE AARP/403/2025 du 26 août 2025</w:t>
      </w:r>
    </w:p>
    <w:p>
      <w:r>
        <w:t>IT: GE_GERICHTE AARP/403/2025 del 26 agosto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- 23/42 - P/27490/2023</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à la suite de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7B_747/2023 du 8 janvier 2025 consid. 2.2.4 ; 6B_625/2024 du 12 décembre 2024 consid. 1.1.1 ; 6B_1232/2023 du 18 septembre 2024 consid. 3.1.1 ; 6B_575/2024 du 9 septembre 2024 consid. 1.1.2 ; 6B_358/2024 du 12 août 2024 consid. 1.1.3).</w:t>
      </w:r>
    </w:p>
    <w:p>
      <w:r>
        <w:rPr>
          <w:b/>
        </w:rPr>
        <w:t>E. 3</w:t>
      </w:r>
    </w:p>
    <w:p>
      <w:r>
        <w:t>3.1.1. Les dispositions sur la contrainte sexuelle et le viol des art. 189 et 190 CP ont été notablement modifiées au 1er juillet 2024. Depuis lors, l'existence d'une contrainte n'est plus un élément constitutif de ces infractions, mais uniquement de leur forme qualifiée (cf. art. 189 al. 2 et 190 al. 2 CP). À l'aune de l'acte d'accusation, il n'existe</w:t>
      </w:r>
    </w:p>
    <w:p>
      <w:r>
        <w:t>- 24/42 - P/27490/2023 pas de situation concrète où le nouveau droit est plus favorable que l'ancien. Les art. 189 et 190 CP dans leur teneur au 31 juin 2024 restent donc applicables à tous les comportements réalisés jusqu'à cette date.</w:t>
      </w:r>
    </w:p>
    <w:p>
      <w:r>
        <w:t>3.1.2.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w:t>
      </w:r>
    </w:p>
    <w:p>
      <w:r>
        <w:t>Les art. 189 et 190 CP répriment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(ATF 148 IV 234 consid. 3.3).</w:t>
      </w:r>
    </w:p>
    <w:p>
      <w:r>
        <w:t>L'acte de contrainte doit ainsi être essentiel à la réalisation de l'acte sexuel commis par l'auteur contre la volonté la victime (ATF 131 IV 167 consid. 3.2).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w:t>
      </w:r>
    </w:p>
    <w:p>
      <w:r>
        <w:t>Pour que l'art. 189 CP s'applique, il faut encore prouver l'existence d'un lien de causalité entre le moyen de contrainte et l'acte d'ordre sexuel que la victime subit ou accomplit. Il n'y a pas de causalité lorsque l'auteur profite d'une dépendance ou d'un état de détresse déjà existants (M. DUPUIS / L. MOREILLON / C. PIGUET / S. BERGER / M. MAZOU / V. RODIGARI, Code pénal – Petit commentaire, 2ème éd., Bâle 2017, n. 35 ad art. 189).</w:t>
      </w:r>
    </w:p>
    <w:p>
      <w:r>
        <w:rPr>
          <w:b/>
        </w:rPr>
        <w:t>E. 3.2</w:t>
      </w:r>
    </w:p>
    <w:p>
      <w:r>
        <w:t>Il convient d'analyser les éléments de preuve relatifs aux événements survenus dans la nuit du 26 au 27 novembre 2023, tout en les replaçant dans le contexte général ayant entouré et suivi les faits.</w:t>
      </w:r>
    </w:p>
    <w:p>
      <w:r>
        <w:rPr>
          <w:b/>
        </w:rPr>
        <w:t>E. 3.2.1</w:t>
      </w:r>
    </w:p>
    <w:p>
      <w:r>
        <w:t>Les récits de l'appelant et de l'intimée concordent sur plusieurs aspects. Il n'est ainsi pas contesté qu'au cours de la soirée précédant les faits, les deux protagonistes,</w:t>
      </w:r>
    </w:p>
    <w:p>
      <w:r>
        <w:t>- 25/42 - P/27490/2023 qui se connaissaient déjà, s'étaient retrouvés au domicile de F______. Tous trois avaient consommé de la cocaïne et bu de la bière, avant que A______ et C______ ne s'isolent dans la chambre de F______. Dans cette pièce, A______ lui avait offert des bijoux, et ils avaient continué de consommer des stupéfiants. Il lui avait ensuite prodigué des attouchements. Ils avaient effectué à plusieurs reprises des allers-retours au salon, où se trouvait F______ qui consommait également de la drogue à ces occasions. C______ ne s'était pas plainte de quoique ce soit auprès de F______, et celui-ci n'avait rien observé d'anormal. Lors de leur dernier passage dans la chambre, C______ s'était allongée sur le lit, sur le flanc gauche, et A______ était venu se placer derrière elle pour avoir un rapport sexuel. Après s'être rhabillés, ils étaient revenus dans salon. A______ les avait ensuite quittés peu après.</w:t>
      </w:r>
    </w:p>
    <w:p>
      <w:r>
        <w:rPr>
          <w:b/>
        </w:rPr>
        <w:t>E. 3.2.2</w:t>
      </w:r>
    </w:p>
    <w:p>
      <w:r>
        <w:t>Les versions des protagonistes divergent cependant sur la nature des actes en cause, ainsi qu'au sujet du recours à la contrainte par l'appelant et à l'absence alléguée de consentement de l'intimée.</w:t>
      </w:r>
    </w:p>
    <w:p>
      <w:r>
        <w:rPr>
          <w:b/>
        </w:rPr>
        <w:t>E. 3.2.2.1</w:t>
      </w:r>
    </w:p>
    <w:p>
      <w:r>
        <w:t>Le récit de la plaignante relatif aux actes sexuels commis par l'appelant a évolué au fil de la procédure, sans pour autant présenter d'incohérences majeures. Lors de sa première audition, elle a évoqué une sodomie avec trois "allers-retours" et une pénétration digitale du vagin (cf. pièce A-13). Devant le MP, elle a précisé qu'il avait effectué "des pénétrations, [soit] une devant et je ne sais pas combien derrière, je n'ai pas compté", sans autre détail sur le terme "devant" (cf. pièce C-90), ajoutant qu'il avait tenté à deux reprises, avant de la pénétrer trois fois analement, sous forme d'allers-retours, tout en la touchant "en bas" (C-91). Ce n'est qu'en première instance qu'elle a indiqué que "devant" signifiait une pénétration vaginale par le sexe de l'appelant (cf. procès-verbal TCO, p. 11), décrivant alors une séquence comprenant un attouchement digital de son sexe, suivi d'une pénétration digitale, de deux tentatives de sodomie, une pénétration vaginale avec son sexe, puis une sodomie avec pénétration digitale (cf. procès-verbal TCO, p. 13). Ces variations, qui s'accompagnent d'une amplification de ses accusations, représentent toutefois un processus courant chez les victimes d'abus sexuels lors de la révélation de leur calvaire. Cette seule circonstance n'est donc pas de nature à compromettre sensiblement la crédibilité des propos de la plaignante.</w:t>
      </w:r>
    </w:p>
    <w:p>
      <w:r>
        <w:t>Au-delà des actes sexuels reprochés, le récit de la plaignante relatif à son absence de consentement et à la contrainte exercée par l'appelant se révèle constant quant à l'expression de ses refus verbalisés et aux gestes de résistance allégués, mais comporte plusieurs incohérences sur les circonstances matérielles des faits. Si elle a maintenu que l'appelant avait passé son bras autour de son cou pour la retenir, alors qu'il se trouvait allongé derrière elle, ses explications ont divergé concernant la survenance d'un coup porté à l'arcade sourcilière. Après avoir initialement affirmé avoir reçu "une patate avec son poing", provoquant un saignement abondant à l'arcade sourcilière gauche ("pisser le sang" ; cf. pièce A-13), elle a ensuite nuancé ses propos, évoquant une simple pression de la main ayant causé un léger saignement ("sa main avait touché</w:t>
      </w:r>
    </w:p>
    <w:p>
      <w:r>
        <w:t>- 26/42 - P/27490/2023 [son] arcade et ça [l'avait] fait saigner" ; cf. pièce C-91), avant de revenir, en première instance, à la thèse du coup intentionnel ayant causé un saignement important (cf. procès-verbal TCO, p. 10). Or, ces variations ne sont étayées que par une attestation médicale, à faible force probante dans la mesure où elle a été réalisée une dizaine de jours après les faits, et qui ne fait que relater des propos tenus hors du cadre des garanties prévues par la procédure pénale. Elles ne trouvent, pour le surplus, aucun appui matériel dans le dossier. L'absence de trace de sang sur les vêtements ainsi que les déclarations du témoin F______, qui a affirmé qu'il n'avait jamais vu de sang sur son visage ni de blessure à l'arcade, ce qui est corroboré par le récit de la plaignante et de l'appelant au sujet de la réaction dudit témoin au moment des faits, ainsi que les explications du témoin G______, selon lesquelles la blessure serait survenue ultérieurement, affaiblissent la crédibilité de cette partie du récit. Enfin, selon la plaignante, elle aurait pu se dégager aisément de la prise alléguée ("Il était allongé derrière moi, il avait la main derrière mon cou, j'ai enlevé sa main et je l'ai repoussé" [cf. pièce C-92]), ce qui suggère un usage de la force d'une intensité moindre que celle décrite. L'ensemble de ces éléments laissent ainsi penser que la plaignante a eu tendance à exagérer la gravité du comportement de l'appelant.</w:t>
      </w:r>
    </w:p>
    <w:p>
      <w:r>
        <w:t>Toujours sur le plan de la contrainte, le récit de la plaignante présente une discrépance essentielle, tenant à l'existence de plusieurs allers-retours qu'elle aurait effectués entre le salon et la chambre. Il apparaît qu'elle n'en a pas fait mention dans son audition initiale à la police, pourtant circonstanciée, ne les mentionnant qu'ultérieurement devant le MP, après que l'appelant eut livré l'information. Ce n'est qu'en première instance qu'elle a aussi ajouté qu'elle avait dû, à chaque fois, se rhabiller pour se rendre au salon, élément dont l'omission préalable interroge. Surtout, ces allers-retours, admis par la suite, s'accordent difficilement avec la version d'une contrainte exercée sur elle. Ils démontrent qu'elle avait à plusieurs reprises la possibilité de quitter la pièce, voire l'appartement, et ainsi se soustraire à toute emprise de l'appelant. Le fait qu'elle soit revenue à chaque fois dans la chambre, en dépit des attouchements qu'elle décrits comme non consentis, affaiblit sensiblement la portée de ses affirmations. Dès lors, ces éléments ne peuvent être interprétés comme corroborant la thèse de la contrainte invoquée par la plaignante.</w:t>
      </w:r>
    </w:p>
    <w:p>
      <w:r>
        <w:t>La plaignante ne soutient pas non plus que l'appelant aurait profité de sa dépendance aux stupéfiants ou d'un état de détresse pour obtenir d'elle des actes sexuels. Il ressort tout au plus du contexte qu'elle souhaitait consommer, sans que ce besoin n'ait pour autant altéré sa capacité de discernement ni son libre-arbitre. Il n'existe au demeurant aucun élément, y compris dans le récit de la plaignante, permettant d'affirmer que l'appelant aurait usé d'un stratagème sous la forme d'un chantage ou d'une contrainte en lien avec son état de dépendance.</w:t>
      </w:r>
    </w:p>
    <w:p>
      <w:r>
        <w:t>Enfin, certaines explications de la plaignante interpellent au regard de leurs contradictions. Elle a d'abord affirmé à deux reprises que, quelques jours après les faits, lors d'une rencontre fortuite dans la rue, l'appelant avait reconnu devant G______ avoir eu un</w:t>
      </w:r>
    </w:p>
    <w:p>
      <w:r>
        <w:t>- 27/42 - P/27490/2023 rapport sexuel avec elle, allant même jusqu'à citer les termes qu'il avait utilisé ("oui je l'ai sodomisée" [cf. pièce C-89] ; "j'ai baisé ta femme" [cf. pièce C-98]). Elle a ensuite présenté une version opposée, déclarant que l'appelant avait, au contraire, démenti publiquement avoir eu des relations avec elle ("Je m'en souviens très bien, Monsieur G______ a demandé à Monsieur A______ si on avait eu des rapports et A______ a dit en criant dans la rue que ce n'était pas le cas." [cf. pièce C-150]). Bien que ces divergences concernent des aspects accessoires au cœur de l'accusation, en ce qu'elles se réfèrent aux faits vécus après l'agression alléguée, elles suggèrent que la plaignante revisite ses souvenirs, consciente des enjeux procéduraux, ce qui affaiblit la crédibilité de ses déclarations.</w:t>
      </w:r>
    </w:p>
    <w:p>
      <w:r>
        <w:rPr>
          <w:b/>
        </w:rPr>
        <w:t>E. 3.2.2.2</w:t>
      </w:r>
    </w:p>
    <w:p>
      <w:r>
        <w:t>Le récit de l'appelant, qui s'est montré authentique aux débats d'appel, s'est révélé constant tout au long de la procédure. Il a affirmé de manière cohérente que les rapports avaient été consentis, excluant toute forme de contrainte. Il a insisté sur le fait que la plaignante, qui l'avait suivi à plusieurs reprises dans la chambre, ne lui avait jamais dit d'arrêter, ce qu'il interprétait comme l'expression de son consentement au moment des faits. Son récit, précis et séquencé, décrit successivement les attouchements mutuels, les allers-retours entre la chambre et le salon, puis la tentative infructueuse de pénétration en raison d'un trouble de l'érection dû à la consommation de stupéfiants et d'alcool. Il a, de façon constante, également nié avoir passé son bras autour du cou de la plaignante. Dès sa première audition, puis tout au long de la procédure, il a fourni des détails personnels (difficultés d'érection, démarches pour vérifier son état d'excitation), traduisant une narration libre et sans esquive. Il a aussi exprimé le malaise et l'incompréhension ressentis lorsqu'il avait appris, par F______, les accusations qu'il jugeait infondées ("J'ai dit à Monsieur F______ que j'étais choqué [ndr : lorsque celui-ci lui avait relaté les messages de C______], car nous sommes sortis à trois reprises de la chambre et C______ n'a rien dit alors que M. F______ était présent." [cf. pièce C-44]). Ses propos demeurent par ailleurs identiques à ceux qu'il avait tenus spontanément à G______ avant même sa mise en prévention (cf. pièce C-69). Enfin, élément qui mérite d'être soulevé à décharge, le TCO retient lui-même, dans le cadre de sa propre appréciation des preuves, que le récit du prévenu est "crédible" et qu'il "n'est contredit par aucun élément matériel du dossier" (cf. jugement du TCO, p. 22).</w:t>
      </w:r>
    </w:p>
    <w:p>
      <w:r>
        <w:t>À ces éléments viennent s'ajouter des critères d'appréciation extrinsèques qui soulignent le manque de preuves matérielles et appellent à retenir avec circonspection les éléments relatifs au contexte des faits et du dépôt de plainte.</w:t>
      </w:r>
    </w:p>
    <w:p>
      <w:r>
        <w:t>Premièrement, l'absence de constat médical ne permet pas d'attester de l'existence de pénétrations vaginales ou anales sur la plaignante et aucun examen gynécologique n'a été pratiqué. L'absence d'ADN sur les vêtements de la plaignante, dont la nature est contestée par l'appelant (qui soutient qu'elle portait un pantalon et non une robe), ne le disculpe pas pour autant, cet élément apparaissant comme neutre. La seule attestation médicale versée au dossier n'établit par ailleurs aucun trouble psychique chez la</w:t>
      </w:r>
    </w:p>
    <w:p>
      <w:r>
        <w:t>- 28/42 - P/27490/2023 plaignante qui serait typique d'une victime d'atteinte à son intégrité sexuelle. Enfin, aucune expertise médico-légale n'a été ordonnée sur les protagonistes, autre point qui, bien que neutre en l'état, constitue objectivement une lacune ne renforçant pas l'accusation.</w:t>
      </w:r>
    </w:p>
    <w:p>
      <w:r>
        <w:t>En deuxième lieu, le récit du témoin F______, seule personne présente au moment des faits, bien qu'à l'extérieur de la chambre, tend à corroborer la version de l'appelant sur plusieurs aspects. Il a notamment dit que la plaignante ne s'était jamais plainte d'une contrainte et qu'elle ne présentait aucune lésion apparente au visage. Il a ajouté n'avoir perçu aucun bruit ou comportement anormal au moment des faits. S'il convient de faire preuve de prudence dans l'appréciation de ses déclarations, lesquelles ont connu certaines variations, il n'en demeure pas moins que le témoin a tenu des propos critiques à l'égard des deux protagonistes qualifiant la plaignante de personne instable et peu fiable, tout en évoquant de manière défavorable certains aspects de la personnalité de l'appelant ainsi que ses activités, qu'il a dénoncées aux autorités de poursuite pénale, son attitude ne trahissant donc pas une volonté de favoriser l'une ou l'autre des parties.</w:t>
      </w:r>
    </w:p>
    <w:p>
      <w:r>
        <w:t>Troisièmement, le témoin indirect G______ a lui-même remis en cause le témoignage de son ex-compagne, affirmant avoir été convaincu, dès le lendemain de ses confidences, qu'elle avait menti au sujet de l'agression sexuelle alléguée. Il a décrit la plaignante comme une personne instable, ayant de multiples relations, des problèmes de dépendances aux stupéfiants et aux médicaments, ainsi que des hallucinations auditives et un comportement paranoïaque. Bien que son audition soit intervenue après la rupture du couple, son témoignage demeure nuancé, d'autant qu'il confirme certains éléments de la version de la plaignante, tel que l'encouragement qu'il lui aurait donné à déposer plainte. Le témoignage de V______ apporte également un éclairage supplémentaire sur la plaignante, dont il faut relever l'absence de comparution aux débats d'appel sans justification. Cette témoin, qui entretenait des liens limités avec l'appelant, a indiqué avoir croisé récemment la plaignante de manière fortuite, laquelle l'aurait interpellé et lui aurait tenu un discours confus sur les faits, tout en admettant ne plus savoir précisément pour quelle raison elle avait porté plainte.</w:t>
      </w:r>
    </w:p>
    <w:p>
      <w:r>
        <w:t>En quatrième lieu, les messages échangés entre la plaignante et l'appelant, datant de moins de 24h après les faits, témoignent du fait que la première a repris contact très rapidement après les faits avec son agresseur présumé, à la suite de plusieurs appels restés sans réponse de sa part (plus de cinq entre 14h00 et 17h00 le 27 novembre 2023). Les nombreux messages sont toutefois exempts de toute dénonciation, du moins explicite. Ils ne font pas allusion à des actes d'ordre sexuels et laissent apparaître, au contraire, une tonalité cordiale et familière qui se concilie mal avec la version d'actes sexuels sous la contrainte tels que dénoncés. Si la plaignante justifie ces échanges par le besoin de se procurer de la drogue (cf. pièce C-94), cet argument n'est pas déterminant puisqu'elle reconnaît elle-même que l'appelant n'était pas sa seule source d'approvisionnement (cf. pièce C-96).</w:t>
      </w:r>
    </w:p>
    <w:p>
      <w:r>
        <w:t>- 29/42 - P/27490/2023</w:t>
      </w:r>
    </w:p>
    <w:p>
      <w:r>
        <w:t>Cinquièmement, le dépôt de plainte de la plaignante s'inscrit dans un contexte particulier, empreint d'une influence extérieure manifeste. Celle-ci a admis avoir porté plainte sous l'impulsion, voire la pression de G______. Les intéressés ont tous deux confirmé que ce dernier avait exigé d'elle qu'elle dépose plainte pour démontrer qu'elle disait la vérité au sujet d'un rapport qu'elle qualifiait de forcé, la "mettant en garde" qu'il n'accepterait pas qu'elle aille voir "ailleurs". Il ressort également de leurs déclarations que la plaignante craignait son compagnon, lequel avait été incarcéré pour des violences à son encontre. Ce climat est encore illustré par les échanges entre l'intimée et l'appelant, dans lesquels elle insistait sur la nécessité d'effacer leurs conversations pour que G______ ne les voie pas. Par ailleurs, les faits doivent être replacés dans un environnement plus large, soit celui qui rassemble des personnes aux prises avec la toxicomanie. Si cet élément peut être considéré comme neutre au vu des effets décrits sur leur état respectif au moment des événements et attribués à leur consommation – la plaignante évoquant qu'elle ne se sentait pas bien et l'appelant qu'il avait des problèmes d'érection –, il n'en demeure pas moins qu'il justifie une lecture prudente de leurs déclarations, celles-ci ayant pu être influencées par les effets des substances consommées au moment des faits puis par celles prises ensuite chez les personnes en proie à l'addiction.</w:t>
      </w:r>
    </w:p>
    <w:p>
      <w:r>
        <w:rPr>
          <w:b/>
        </w:rPr>
        <w:t>E. 3.2.3</w:t>
      </w:r>
    </w:p>
    <w:p>
      <w:r>
        <w:t>Au vu de ce qui précède, les éléments de preuve au dossier ne permettent pas d'établir l'existence d'une situation de contrainte du prévenu à l'encontre de l'intimée. Tant la version de la plaignante que celle de l'appelant sont possibles, la seconde apparaissant toutefois légèrement plus vraisemblable, au vu du contexte et des discrépances relevés supra. En tout état de cause, en matière pénale, le doute doit profiter à l'accusé.</w:t>
      </w:r>
    </w:p>
    <w:p>
      <w:r>
        <w:t>La juridiction d'appel retient donc qu'au cours de la nuit du 26 ou 27 novembre 2023, au domicile de F______, l'appelant et l'intimée ont entretenu des actes d'ordre sexuels, mais non achevés pour certains, comprenant différents attouchements digitaux et tentatives de pénétrations anales ou vaginales, sans recours à la contrainte.</w:t>
      </w:r>
    </w:p>
    <w:p>
      <w:r>
        <w:rPr>
          <w:b/>
        </w:rPr>
        <w:t>E. 3.3</w:t>
      </w:r>
    </w:p>
    <w:p>
      <w:r>
        <w:t>Par voie de conséquence, l'élément constitutif objectif de l'absence de consentement déjoué par l'utilisation d'un moyen de contrainte, tant physique que psychique, fait défaut. Cette appréciation vaut pour l'ensemble des actes sexuels reprochés dans l'acte d'accusation.</w:t>
      </w:r>
    </w:p>
    <w:p>
      <w:r>
        <w:t>La saisine de la Cour s'examinant à l'aune du dispositif de la décision attaquée, il convient par conséquent d'acquitter l'appelant de l'infraction de viol (art. 190 al. 1 CP), sans qu'il ne soit nécessaire de prononcer un acquittement formel pour les autres atteintes à l'intégrité sexuelle visées dans l'acte d'accusation et non retenues par le TCO.</w:t>
      </w:r>
    </w:p>
    <w:p>
      <w:r>
        <w:t>L'appel sera donc admis sur ce point.</w:t>
      </w:r>
    </w:p>
    <w:p>
      <w:r>
        <w:t>- 30/42 - P/27490/2023</w:t>
      </w:r>
    </w:p>
    <w:p>
      <w:r>
        <w:rPr>
          <w:b/>
        </w:rPr>
        <w:t>E. 4</w:t>
      </w:r>
    </w:p>
    <w:p>
      <w:r>
        <w:t>4.1.1. L'art. 160 ch. 1 CP punit quiconque acquiert ou reçoit en don une chose dont il sait ou doit présumer qu'un tiers l'a obtenue au moyen d'une infraction contre le patrimoine.</w:t>
      </w:r>
    </w:p>
    <w:p>
      <w:r>
        <w:t>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(arrêt du Tribunal fédéral 6B_189/2017 du</w:t>
      </w:r>
    </w:p>
    <w:p>
      <w:r>
        <w:rPr>
          <w:b/>
        </w:rPr>
        <w:t>E. 7</w:t>
      </w:r>
    </w:p>
    <w:p>
      <w:r>
        <w:t>Au vu de l'acquittement de l'appelant, les prétentions de l'intimée en réparation du tort moral, en CHF 10'000.-, seront rejetées et l'appel sur ce point sera admis.</w:t>
      </w:r>
    </w:p>
    <w:p>
      <w:r>
        <w:rPr>
          <w:b/>
        </w:rPr>
        <w:t>E. 8</w:t>
      </w:r>
    </w:p>
    <w:p>
      <w:r>
        <w:t>La question d'une expulsion obligatoire, qui n'est pas requise par le MP au-delà de la confirmation du jugement entrepris, n'entre plus en considération au vu de l'acquittement de l'appelant du chef de viol, les infractions dont il est reconnu coupable en appel ne remplissant pas les conditions de l'art. 66a al. 1 CP. Il s'ensuit qu'aucune expulsion de Suisse ne sera prononcée à son encontre.</w:t>
      </w:r>
    </w:p>
    <w:p>
      <w:r>
        <w:t>L'appel sera admis sur ce point.</w:t>
      </w:r>
    </w:p>
    <w:p>
      <w:r>
        <w:t>- 36/42 - P/27490/2023</w:t>
      </w:r>
    </w:p>
    <w:p>
      <w:r>
        <w:rPr>
          <w:b/>
        </w:rPr>
        <w:t>E. 9</w:t>
      </w:r>
    </w:p>
    <w:p>
      <w:r>
        <w:t>9.1.1.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w:t>
      </w:r>
    </w:p>
    <w:p>
      <w:r>
        <w:t>9.1.2.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9.2.1. Les frais liés à l'activité des autorités pour la procédure préliminaire et de première instance ont été majoritairement engendrés par l'instruction relative au complexe de faits portant sur C______, pour lequel l'appelant bénéficie d'un acquittement complet. Il doit toutefois supporter ceux liés à sa condamnation du chef de vol, de recel, de délit à la loi sur les stupéfiants, de non-respect d'une interdiction de pénétrer dans une région déterminée, de séjour illégal et de consommation de stupéfiants.</w:t>
      </w:r>
    </w:p>
    <w:p>
      <w:r>
        <w:t>En conséquence, il convient de mettre à la charge de l'appelant 40% des frais de la procédure préliminaire et de première instance, soit CHF 7'205.60 (18'014 x 0.4), le solde restant à la charge de l'État.</w:t>
      </w:r>
    </w:p>
    <w:p>
      <w:r>
        <w:t>9.2.2. En ce qui concerne la procédure d'appel, l'appelant l'emporte sur les questions de sa culpabilité du chef de viol, succombant sur sa condamnation de recel. Il l'emporte également notablement sur la peine et sur son expulsion de Suisse.</w:t>
      </w:r>
    </w:p>
    <w:p>
      <w:r>
        <w:t>Dans ces circonstances, 20% des frais de la procédure d'appel, lesquels s'élèvent à CHF 2'935.-, y compris un émolument d'arrêt de CHF 2'500.-, seront mis à la charge de l'appelant et le solde laissé à l'État.</w:t>
      </w:r>
    </w:p>
    <w:p>
      <w:r>
        <w:rPr>
          <w:b/>
        </w:rPr>
        <w:t>E. 10</w:t>
      </w:r>
    </w:p>
    <w:p>
      <w:r>
        <w:t>Aucune indemnité fondée sur l'art. 429 CPP ne sera allouée à l'appelant, celui-ci, dûment assisté, y ayant renoncé spontanément lors des débats d'appel.</w:t>
      </w:r>
    </w:p>
    <w:p>
      <w:r>
        <w:rPr>
          <w:b/>
        </w:rPr>
        <w:t>E. 11.1</w:t>
      </w:r>
    </w:p>
    <w:p>
      <w:r>
        <w:t>Selon l'art. 135 al. 1 CPP, le défenseur d'office est indemnisé conformément au tarif des avocats du canton du for du procès. S'agissant d'une affaire soumise aux juridictions genevoises, le règlement sur l'assistance juridique et l'indemnisation des</w:t>
      </w:r>
    </w:p>
    <w:p>
      <w:r>
        <w:t>- 37/42 - P/27490/2023 conseils juridiques et défenseurs d'office en matière civile, administrative et pénale (RAJ) s'applique. L'art. 16 al. 1 RAJ prescrit que le tarif horaire est de CHF 200.- pour un avocat chef d'étude, CHF 150.- pour un avocat collaborateur et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w:t>
      </w:r>
    </w:p>
    <w:p>
      <w:r>
        <w:t>L'activité consacrée aux conférences, audiences et autres actes de la procédure est majorée de 20% jusqu'à trente heures de travail sur l'ensemble de la procédure pénale, pour couvrir les démarches diverses, tels la rédaction de courriers ou notes, les entretiens téléphoniques et la lecture de communications, pièces et décisions (AARP/10/2025 du 8 janvier 2025 consid. 8.1.2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(AARP/324/2024 du 2 septembre 2024 consid. 7.1 ; AARP/99/2024 du 8 mars 2024 consid. 10.1).</w:t>
      </w:r>
    </w:p>
    <w:p>
      <w:r>
        <w:rPr>
          <w:b/>
        </w:rPr>
        <w:t>E. 11.2</w:t>
      </w:r>
    </w:p>
    <w:p>
      <w:r>
        <w:t>En l'occurrence, l'état de frais de Me B______ sera admis, hormis le temps consacré par le stagiaire à la rédaction de la déclaration d'appel (40 minutes), couvert par le forfait, et au travail sur le dossier (70 minutes), au vu du temps consacré à ce poste-là par le chef d'étude, qui seront retranchés. Le taux dudit forfait sera fixé à 20% au vu du fait que Me B______ a été nommé au stade de la procédure d'appel. La durée effective de l'audience et la rémunération forfaitaire de la vacation au Palais de justice seront ajoutées. En conclusion, la rémunération sera arrêtée à CHF 8'181.40, correspondant à 28 heures et 45 minutes d'activité de chef d'étude au tarif de CHF 200.-/heure (CHF 5'784.-), plus la majoration forfaitaire de 20% (CHF 1'156.80), la vacation pour les débats d'appel (CHF 100.-) et l'équivalent de la TVA à 8.1% (CHF 1'140.60).</w:t>
      </w:r>
    </w:p>
    <w:p>
      <w:r>
        <w:rPr>
          <w:b/>
        </w:rPr>
        <w:t>E. 11.3</w:t>
      </w:r>
    </w:p>
    <w:p>
      <w:r>
        <w:t>Il convient d'écarter de l'état de frais déposé par Me D______ l'indemnisation de son déplacement pour se rendre au domicile de sa cliente qui n'a pas vocation à être indemnisé par l'assistance juridique. La durée des conférences avec sa cliente, estimée en tout à 4h00, sera également réduite à 2h15, soit 45 minutes par conférence paraissant raisonnable au stade de la procédure l'appel. Le forfait sera ajusté à 10% au vu des heures indemnisées depuis le début de la procédure. La durée effective de l'audience et la rémunération forfaitaire de la vacation au Palais de justice seront ajoutées. L'état de frais sera admis pour le surplus.</w:t>
      </w:r>
    </w:p>
    <w:p>
      <w:r>
        <w:t>- 38/42 - P/27490/2023</w:t>
      </w:r>
    </w:p>
    <w:p>
      <w:r>
        <w:t>La rémunération sera arrêtée à CHF 2'407.80, correspondant à neuf heures et 40 minutes d'activité de cheffe d'étude au tarif de CHF 200.-/heure (CHF 1'934.-), plus la majoration forfaitaire de 10% (CHF 193.40), la vacation pour les débats d'appel (CHF 100.-) et l'équivalent de la TVA à 8.1% (CHF 180.40). * * * * *</w:t>
      </w:r>
    </w:p>
    <w:p>
      <w:r>
        <w:t>- 39/42 - P/27490/2023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