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AARP/403/2023 vom 19. Oktober 2023</w:t>
      </w:r>
    </w:p>
    <w:p>
      <w:r>
        <w:t>GE Cour de justice, 2023-10-19, FR</w:t>
      </w:r>
    </w:p>
    <w:p>
      <w:r>
        <w:rPr>
          <w:b/>
        </w:rPr>
        <w:t xml:space="preserve">Quelle: </w:t>
      </w:r>
      <w:r>
        <w:t>https://mcp.opencaselaw.ch/entscheid/ge_gerichte_AARP_403_2023</w:t>
      </w:r>
    </w:p>
    <w:p>
      <w:r>
        <w:t>FR: GE_GERICHTE AARP/403/2023 du 19 octobre 2023</w:t>
      </w:r>
    </w:p>
    <w:p>
      <w:r>
        <w:t>IT: GE_GERICHTE AARP/403/2023 del 19 ottobre 2023</w:t>
      </w:r>
    </w:p>
    <w:p>
      <w:pPr>
        <w:pStyle w:val="Heading2"/>
      </w:pPr>
      <w:r>
        <w:t>Erwägungen</w:t>
      </w:r>
    </w:p>
    <w:p>
      <w:r>
        <w:rPr>
          <w:b/>
        </w:rPr>
        <w:t>E. 1</w:t>
      </w:r>
    </w:p>
    <w:p>
      <w:r>
        <w:t>Les appels sont recevables pour avoir été interjetés et motivés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C______ et A______ concluent au classement de la procédure, subsidiairement à leur acquittement.</w:t>
      </w:r>
    </w:p>
    <w:p>
      <w:r>
        <w:t>2.1.1. Conformément à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Si l'infraction préalable est poursuivie sur plainte, le recel ne sera poursuivi que si cette plainte a été déposée (al. 3).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Le point de savoir si l'auteur du délit préalable a été poursuivi ou puni est sans pertinence. Il suffit que l'acte initial réalise les conditions objectives d'un comportement pénalement répréhensible.</w:t>
      </w:r>
    </w:p>
    <w:p>
      <w:r>
        <w:t>- 12/21 - P/18781/2019</w:t>
      </w:r>
    </w:p>
    <w:p>
      <w:r>
        <w:t>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(arrêt 6B_728/2010 du 1 er mars 2011 consid. 2.2).</w:t>
      </w:r>
    </w:p>
    <w:p>
      <w:r>
        <w:t>Selon le Tribunal fédéral, la notion d'infraction contre le patrimoine au sens de l'art. 160 ch. 1 al. 1 CP doit être définie en fonction de la nature du recel, qui selon la théorie dite de la perpétuation, est punissable parce qu'il a pour effet de faire durer, au préjudice de la victime du premier délit, l'état de chose contraire au droit que cette infraction a créé et qui se caractérise donc comme une atteinte au droit d'autrui de récupérer une chose dont il a été privé à la suite d'une première infraction (ATF 127 IV 79 consid. 2b ; arrêt du Tribunal fédéral 6B_793/2007 du 18 mars 2008 consid. 4.1).</w:t>
      </w:r>
    </w:p>
    <w:p>
      <w:r>
        <w:t>2.1.2. Selon l'art. 3 al. 1 CP, le code pénal est applicable à quiconque commet un crime ou un délit en Suisse. Un crime ou un délit est réputé commis tant au lieu où l'auteur a agi ou aurait dû agir qu'au lieu où le résultat s'est produit (art. 8 al. 1 CP). Une tentative est réputée commise tant au lieu où son auteur l'a faite qu'au lieu où, dans l'idée de l'auteur, le résultat devait se produire (art. 8 al. 2 CP). L’acte du recel doit avoir été exécuté au moins partiellement en Suisse (art. 8 CP), à moins que les art. 6 ou 7 ne s’appliquent. L’infraction, même sous la forme de dissimulation, n’est pas un délit continu (WEISSENBERGER in Basler Kommentar Strafrecht, Jugendstrafgesetz, 4e éd., Bâle 2019, n° 7 ad art. 160).</w:t>
      </w:r>
    </w:p>
    <w:p>
      <w:r>
        <w:t>C’est au moment de l’acte éventuellement constitutif de recel que l’intention de l’auteur doit être examinée ; le dolus subsequens est sans pertinence. Si l’auteur prend connaissance de la provenance délictueuse de la chose après son acquisition et qu’il n’est pas complètement protégé dans sa possession, l'art. 160 CP entre en considération seulement si, en accord avec le possesseur antérieur, il fournit son aide pour la revente de la chose (aide à la négociation) ou si, par une nouvelle action, il dissimule (de façon autonome) la chose. En revanche, le simple fait de rester inactif ou de garder le silence n’est pas suffisant. Comme le recel sous la forme d’une dissimulation ne constitue pas un délit continu, le simple fait de continuer à utiliser la chose après qu’un acte pouvant être qualifié objectivement de dissimulation a été commis n’est pas constitutif d’un recel, même si l’auteur apprend après coup que l’objet est d’origine délictueuse. Il faut toutefois réserver le cas où l’auteur aurait un devoir de renseigner, soit une obligation légale d’agir (HENZELIN/ MASSROURI, Commentaire romand, Code pénal II, 2017, n° 83 ad art. 160 CP).</w:t>
      </w:r>
    </w:p>
    <w:p>
      <w:r>
        <w:t>2.1.3. Aux termes de l'art. 172ter al. 1 CP, si l'acte ne visait qu'un élément patrimonial de faible valeur ou un dommage de moindre importance, l'auteur sera, sur plainte,</w:t>
      </w:r>
    </w:p>
    <w:p>
      <w:r>
        <w:t>- 13/21 - P/18781/2019 puni d'une amende. Un élément patrimonial est de faible valeur s'il ne vaut pas plus de CHF 300.-. Le critère déterminant est l'intention de l'auteur, non le résultat. L'art.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172ter CP ne trouve pas application, même si le montant du délit est inférieur à CHF 300.-. Si l'auteur commet plusieurs actes portant chaque fois sur une valeur inférieure à CHF 300.-, il faut prendre en considération le total de ces valeurs, pour autant que les actes remplissent les conditions de l'unité juridique et de l'unité naturelle d'action (arrêt du Tribunal fédéral 6B_1054/2021 du 11 mars 2022 consid. 2.1.1).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La notion d'unité naturelle d'actions doit être interprétée restrictivement (arrêt du Tribunal fédéral 6B_1214/2021 du 26 octobre 2022 consid. 2.1.5). 2.1.4.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Le juge doit forger sa conviction sur la base de tous les éléments et indices du dossier. Confronté à des versions contradictoires, il forge sa conviction sur la base d'un ensemble d'éléments ou d'indices convergents, les preuves étant examinées dans leur ensemble et l'état de fait déduit du rapprochement de divers éléments.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w:t>
      </w:r>
    </w:p>
    <w:p>
      <w:r>
        <w:t>- 14/21 - P/18781/2019 la preuve que l'appréciation des preuves au sens large (ATF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En l'espèce, l'acte d'accusation reproche à C______, de s'être rendu à Genève au domicile de AA_____ à des dates indéterminées, à tout le moins à deux reprises entre fin 2018 à fin septembre 2019, afin d'y récupérer pour le compte d'un nommé AB_____ un grand nombre de colis provenant d'infractions contre le patrimoine. Ces faits, tels que décrits à l'acte d'accusation, impliquent à l'évidence un rattachement avec la Suisse dans la mesure où l'acte de recel, soit la prise en charge de colis provenant d'une infraction, serait intervenu à Genève. C______ a fait des déclarations constantes sur le fait qu'il ne s'était pas rendu en Suisse depuis de nombreuses années. Il avait bien rencontré à AI_____ à deux reprises AA_____ venu de Suisse qui lui avait confié quelques colis, sa seule contradiction étant le contrôle de la marchandise, plusieurs des colis l'étant selon ses dernières déclarations alors qu'il avait déclaré le contraire à la police française, ce qu'il a expliqué par l'écoulement du temps. AA_____ a, tout au long de la procédure, fait des déclarations contradictoires et qui ne correspondent à certains éléments ressortant du dossier. Ainsi, il a d'abord déclaré que le nommé C______ était à plusieurs reprises venu à Genève récupérer des cartons avant d'indiquer que ce n'était qu'à une reprise, puis deux, puis, devant le TP, à trois ou quatre reprises. Parallèlement, lui-même se serait rendu plusieurs fois en France pour remettre des colis à C______ soit à AI_____ soit à AJ_____. Ultérieurement, il a déclaré que les colis étaient livrés à C______ à AN_____ uniquement, et ce, jusqu'à cinquante ou soixante fois. Hors C______, il avait remis des colis à une autre personne à deux reprises, puis une fois seulement à AN_____, à une femme, puis que c'était finalement en deux occasions. Confronté à C______, AA_____ l'a certes reconnu. Sa description initiale de l'appelant interpelle dès lors qu'elle est nettement éloignée de celle de C______ relevée par la police française, photographie à l'appui et de ce que la Cour a pu constater en audience. Par ailleurs, la description faite par AF_____ n'est pas particulièrement probante et ne permet pas d'identifier C______. Certes, ce dernier</w:t>
      </w:r>
    </w:p>
    <w:p>
      <w:r>
        <w:t>- 15/21 - P/18781/2019 possédait un véhicule de marque AH_____ mais cela ne suffit pas à démontrer sa venue à Genève. À cela s'ajoute que l'examen des échanges What'sApp entre AA_____ et C______ ne confirme en rien des échanges réguliers entre les intéressés lesquels seraient nombreux selon la version des faits de AA_____. En effet, il n'apparaît de contacts entre eux que début juin 2019 qui suivent le moment où le nommé AB_____ informe AA_____ du nom, de l'adresse de AI_____ [France] et du numéro de téléphone de C______, vraisemblablement pour un transport. Les seuls contacts directs What'sApp suivants entre AA_____ et C______ interviennent en octobre 2019 alors que le nommé AB_____ a déjà cessé les siens avec AA_____ à la suite de l'intervention de la police. Il faut également relever comme ressortant des échanges What'sApp entre AB_____ et AA_____, que début septembre 2019, AB_____ a fait mention du magasin AT_____ à AI_____, ce qui pourrait correspondre à une seconde rencontre entre AA_____ et C______, tel que soutenu par ce dernier. Il est également possible de questionner le fait que dans plusieurs messages What'sApp échangés (dont il ressort qu'il s'agissait de leur moyen de communication privilégié), AB_____ donne à AA_____ à diverses reprises d'autres noms ou adresses en France dont ce dernier n'a jamais fait état. À cet égard, on peut légitimement se demander s'il n'a pas masqué des informations concernant des tiers qui pourraient être impliqués. Ce qui précède permet de douter que AA_____ a fait des déclarations correspondant à la réalité, au vu de leur inconstance et de l'absence de crédibilité à leur accorder, outre que des éléments objectifs au dossier non seulement ne les corroborent pas mais les contredisent en réalité. En définitive, les différents éléments précités ne permettent pas de retenir que C______ est effectivement venu en Suisse prendre en charge des colis provenant d'infractions contre le patrimoine, pas plus qu'ils ne soutiennent l'existence de contacts réguliers entre le précité et AA_____. Au bénéfice du doute, C______ sera donc acquitté des faits qui lui sont reprochés et le jugement réformé en ce sens. 2.2.2. A______ a fait des déclarations fluctuantes desquelles il ressort des contradictions en rapport aux éléments de la procédure quant au nombre de colis réceptionnés, de la nature de ses contacts avec AB_____, de sa rémunération, du moment de l'ouverture de colis et de sa connaissance du fait que ceux qu'il réceptionnait pour les remettre à AA_____ étaient impayés. Outre le mode opératoire très particulier de l'acheminement des colis, il est douteux qu'il n'a pas réalisé, à tout le moins dès le mois de septembre 2019, que son concours était sollicité par AA_____ dans des circonstances troubles devant l'amener à envisager que les colis provenaient d'une infraction contre le patrimoine. En effet, ses déclarations initiales et les détails donnés selon lesquels il avait commencé à s'inquiéter lorsqu'il avait reçu des factures impayées et que c'est à ce moment qu'il avait eu un contact avec AB_____ et convenu avec ce dernier d'une rémunération de CHF 10.- pour trois colis</w:t>
      </w:r>
    </w:p>
    <w:p>
      <w:r>
        <w:t>- 16/21 - P/18781/2019 réceptionnés ne se comprennent pas autrement. Il a admis avoir conservé des colis de montres et de Y______ à son domicile, ce qu'a confirmé la perquisition effectuée. La jurisprudence citée par la défense (arrêt 6B_1124/2014) n'est pas applicable au cas d'espèce. En effet, dans le cas cité, sous l'angle de la condition objective, il n'était pas certain qu'une partie des objets volés était d'origine délictueuse. À l'inverse, il est, au contraire, établi par la procédure que les objets livrés par la poste à l'adresse de l'appelant provenaient bien d'une infraction contre le patrimoine après usurpation de l'identité d'une personne et la commande faite en son nom. Cela étant, il est établi que les valeurs des différentes marchandises envoyées à l'adresse de A______ pour les huit cas identifiés et retenus à l'acte d'accusation sont toutes inférieures au montant de CHF 300.-, celui des préjudices des parties lésées – non identifiées s'agissant du solde des 70 à 100 colis reçus selon l'acte d'accusation - étant inconnu à la procédure. A______ a relevé que ce n'était que lorsqu'il avait reçu des factures à son nom propre en septembre 2019 qu'il avait commencé se poser des questions et à ouvrir des colis. Dans ce contexte, il a ainsi pu prendre connaissance de la valeur individuelle de ceux-ci, de sorte que l'on ne peut exclure qu'il a pris en compte le fait que cette valeur était inférieure à CHF 300.-. La question pourrait être posée d'un dépassement de cette valeur, impliquant une unité naturelle d'action au sens de la jurisprudence, si l'on devait considérer qu'au jour de la perquisition à son domicile, A______ en détenant simultanément plusieurs montres, dont l'une sur lui, perpétuait ce jour-là l'atteinte au droit d'autrui de récupérer les choses illégalement en sa possession. Cela étant, la doctrine récente considère que le recel n'est pas un délit continu et la procédure ne permet pas non plus de savoir à quelle date les différents colis ont été reçus par A______, notamment ceux trouvés lors de la perquisition. Ainsi, une unité naturelle d'action par une prise de possession conjointe de marchandises pour une valeur d'ensemble supérieure à CHF 300.- n'est pas établie. Au vu des incertitudes précitées, seules des infractions de faibles valeurs contre le patrimoine au sens de l'art. 172ter CP pourraient être retenues à l'encontre de A______. Dans la mesure où, s'agissant de contraventions passibles de l'amende pour lesquelles la prescription de l'action pénale est de trois ans (art. 109 CP), la procédure devra être classée. L'appel est ainsi admis et le jugement sera réformé en ce sens.</w:t>
      </w:r>
    </w:p>
    <w:p>
      <w:r>
        <w:rPr>
          <w:b/>
        </w:rPr>
        <w:t>E. 3</w:t>
      </w:r>
    </w:p>
    <w:p>
      <w:r>
        <w:t>A______ réclame une indemnisation à hauteur de CHF 200.- par suite de son arrestation.</w:t>
      </w:r>
    </w:p>
    <w:p>
      <w:r>
        <w:rPr>
          <w:b/>
        </w:rPr>
        <w:t>E. 3.1</w:t>
      </w:r>
    </w:p>
    <w:p>
      <w:r>
        <w:t>L'art. 429 al. 1 let. c CPP prévoit que si le prévenu est acquitté totalement ou en partie, ou s'il bénéficie d'une ordonnance de classement, il a droit à une réparation du tort moral subit en raison d'une atteinte particulièrement grave à sa personnalité, notamment en cas de privation de liberté.</w:t>
      </w:r>
    </w:p>
    <w:p>
      <w:r>
        <w:t>- 17/21 - P/18781/2019</w:t>
      </w:r>
    </w:p>
    <w:p>
      <w:r>
        <w:rPr>
          <w:b/>
        </w:rPr>
        <w:t>E. 3.2</w:t>
      </w:r>
    </w:p>
    <w:p>
      <w:r>
        <w:t>En l'espèce, A______ n'a pas fait l'objet d'une arrestation. Il a été convoqué à la police par mandat de comparution en vue de son audition du 18 novembre 2019 à laquelle il s'est librement rendu, comme il l'a fait pour son audition à Neuchâtel le 12 mars 2020. Il n'a ainsi aucun droit à une indemnisation, n'ayant pas fait l'objet d'une mesure de contrainte.</w:t>
      </w:r>
    </w:p>
    <w:p>
      <w:r>
        <w:rPr>
          <w:b/>
        </w:rPr>
        <w:t>E. 4</w:t>
      </w:r>
    </w:p>
    <w:p>
      <w:r>
        <w:t>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4.1</w:t>
      </w:r>
    </w:p>
    <w:p>
      <w:r>
        <w:t>Selon l'art. 429 al. 1 let. a CPP, le prévenu bénéficiant d'un acquittement ou d'un classement a droit à une indemnité pour les dépenses occasionnées par l'exercice raisonnable de ses droits de procédure (ATF 138 IV 205 consid. 1).</w:t>
      </w:r>
    </w:p>
    <w:p>
      <w:r>
        <w:t>Aux termes de cette disposition, le prévenu a un droit à une indemnisation et à la réparation de son tort moral s'il est acquitté totalement ou en partie ou s'il bénéficie d'une ordonnance de classement. Le droit à l'indemnisation est ouvert dès que des charges pesant sur le prévenu ont été abandonnées, en tout ou partie.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"double utilité", il y a lieu de procéder à une répartition équitable (arrêt du Tribunal fédéral 6B_80/2016 du 7 mars 2017 consid. 2.1).</w:t>
      </w:r>
    </w:p>
    <w:p>
      <w:r>
        <w:t>L'indemnité n'étant due qu’à concurrence des dépenses occasionnées par l’exercice raisonnable des droits de procédure du prévenu, cela autorise la réduction de la note d’honoraires du défenseur (Message, FF 2006 1303, p. 1313 ; J. PITTELOUD, Code de procédure pénale suisse - Commentaire à l’usage des praticiens, Zurich/St-Gall 2012, n. 1349 p. 889). Le juge ne doit ainsi pas avaliser purement et simplement les notes d’honoraires qui lui sont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Ainsi, seules les heures nécessaires passées effectivement et à bon escient à la préparation de la défense doivent être retenues, le juge devant s’inspirer des règles en vigueur en matière de défraiement de l’avocat d’office, de manière à éviter que les activités qui ne sont pas directement et raisonnablement en rapport avec les besoins</w:t>
      </w:r>
    </w:p>
    <w:p>
      <w:r>
        <w:t>- 18/21 - P/18781/2019 effectifs de la conduite du procès soient indemnisées. Le juge dispose d’une marge d’appréciation, sans qu’il ne doive se montrer trop exigeant dans l’appréciation rétrospective qu’il porte sur les actes nécessaires à la défense du prévenu ( NIGGLI / HEER / WIPRÄCHTIGER, Schweizerische Strafprozessordnung / Schweizerische Jugendstrafprozessordnung, Basler Kommentar StPO/JStPO, n. 19 ad art. 429 CPP ; ACPR/239/2017). Les honoraires d'avocat se calculent selon le tarif usuel du barreau applicable dans le canton où la procédure se déroule (arrêt du Tribunal fédéral 6B_392/2013 du</w:t>
      </w:r>
    </w:p>
    <w:p>
      <w:r>
        <w:rPr>
          <w:b/>
        </w:rPr>
        <w:t>E. 4.2</w:t>
      </w:r>
    </w:p>
    <w:p>
      <w:r>
        <w:t>En l'espèce, les relevés d'activité de la défense de C______ pour la première instance font état de multiples actes dont 14 heures de préparation à l'audience de jugement, conclusions en indemnisation, recherches juridiques et entretien avec le client préalable à l'audience, de conférences internes, de multiples entretiens téléphoniques avec la femme du client et de nombreux courriels. En regard des 27 heures et 30 minutes d'activité du stagiaire et des près de huit heures d'activité du collaborateur, il est nécessaire de relever qu'une seule audience de deux heures 35 minutes s'est tenue devant le MP, outre l'audience devant le TP. Au vu de la relative simplicité du dossier, et compte tenu de la position de C______, ainsi que de celle de AA_____ dont les contradictions ont été mises en évidence, il n'apparaît pas que la défense de l'appelant ait nécessité un nombre aussi élevé d'heures d'activité. Ainsi, une indemnisation ne sera accordée qu'à hauteur de 12 heures au tarif de stagiaire, cinq heures au tarif de collaborateur, la durée de l'audience du TP étant admise au tarif de CHF 450.- de chef d'étude, Me D______ y ayant personnellement assisté son client. L'indemnité pour la procédure de première instance sera ainsi accordée à hauteur de CHF 5'350.- plus la TVA. Pour l'instance d'appel, il sera admis huit heures d'activité de stagiaire, y compris la préparation de l'audience, ainsi que la durée de celle-ci, soit dix heures au total. L'indemnité globale due à l'appelant sera ainsi arrêtée à CHF 7'377.45 (CHF 6'850.- + TVA CHF 527.45).</w:t>
      </w:r>
    </w:p>
    <w:p>
      <w:r>
        <w:t>- 19/21 - P/18781/2019</w:t>
      </w:r>
    </w:p>
    <w:p>
      <w:r>
        <w:rPr>
          <w:b/>
        </w:rPr>
        <w:t>E. 5</w:t>
      </w:r>
    </w:p>
    <w:p>
      <w:r>
        <w:t>L'état de frais de Me B______ répondant aux critères de l'assistance juridique, il y sera ajouté la durée de l'audience et la vacation au Palais de justice (CHF 100.-). Cet état de frais sera ainsi taxé à hauteur de CHF 1'077.- (CHF 1'000.- + TVA CHF 77.-).</w:t>
      </w:r>
    </w:p>
    <w:p>
      <w:r>
        <w:rPr>
          <w:b/>
        </w:rPr>
        <w:t>E. 6</w:t>
      </w:r>
    </w:p>
    <w:p>
      <w:r>
        <w:t>Les appels ayant été admis, il ne sera pas perçu de frais (art. 428 CPP a contrario). * * * * *</w:t>
      </w:r>
    </w:p>
    <w:p>
      <w:r>
        <w:t>- 20/21 - P/18781/2019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