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AARP/403/2018 vom 14. Dezember 2018</w:t>
      </w:r>
    </w:p>
    <w:p>
      <w:r>
        <w:t>GE Cour de justice, 2018-12-14, FR</w:t>
      </w:r>
    </w:p>
    <w:p>
      <w:r>
        <w:rPr>
          <w:b/>
        </w:rPr>
        <w:t xml:space="preserve">Quelle: </w:t>
      </w:r>
      <w:r>
        <w:t>https://mcp.opencaselaw.ch/entscheid/ge_gerichte_AARP_403_2018</w:t>
      </w:r>
    </w:p>
    <w:p>
      <w:r>
        <w:t>FR: GE_GERICHTE AARP/403/2018 du 14 décembre 2018</w:t>
      </w:r>
    </w:p>
    <w:p>
      <w:r>
        <w:t>IT: GE_GERICHTE AARP/403/2018 del 14 dicembre 2018</w:t>
      </w:r>
    </w:p>
    <w:p>
      <w:pPr>
        <w:pStyle w:val="Heading2"/>
      </w:pPr>
      <w:r>
        <w:t>Erwägungen</w:t>
      </w:r>
    </w:p>
    <w:p>
      <w:r>
        <w:rPr>
          <w:b/>
        </w:rPr>
        <w:t>E. 1</w:t>
      </w:r>
    </w:p>
    <w:p>
      <w:r>
        <w:t>L'appel et l'appel joint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w:t>
      </w:r>
    </w:p>
    <w:p>
      <w:r>
        <w:t>- 6/16 - P/26385/2017 p. 41 ; ATF 124 IV 86 consid. 2a p. 87 s. ; arrêt du Tribunal fédéral 6B_1015/2016 du 27 octobre 2017 consid. 4.1). 2.1.2. Selon l'art. 144 al. 1 CP, se rend coupable de dommages à la propriété et sera puni sur plainte celui qui aura endommagé, détruit ou mis hors d'usage une chose appartenant à autrui ou frappée d'un droit d'usage ou d'usufruit au bénéfice d'autrui.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(ATF 128 IV 250 consid. 2 p. 252 ; arrêts du Tribunal fédéral 6B_77/2017 du 16 janvier 2018 consid. 2.1 et les références ; 6B_348/2012 du 24 octobre 2012 consid. 2.2).</w:t>
      </w:r>
    </w:p>
    <w:p>
      <w:r>
        <w:rPr>
          <w:b/>
        </w:rPr>
        <w:t>E. 2.2</w:t>
      </w:r>
    </w:p>
    <w:p>
      <w:r>
        <w:t>En l'espèce, l'appelant a de manière constante soutenu avoir certes volé un sac à dos dans une voiture, mais ne pas avoir préalablement brisé la vitre du véhicule visé pour parvenir à ses fins. Ses dénégations et explications à cet égard sont dépourvues de crédibilité. Il sied de rappeler que les faits se sont déroulés à 3h00 du matin et que l'appelant était seul agenouillé à environ 2 mètres de la voiture endommagée, en train de fouiller le sac dérobé, au moment de l'intervention de la police. Des débris de verre ont été retrouvés dans la poche droite de sa veste, où ils n'ont pu arriver que par projection. On ne saurait partant suivre l'appelant lorsqu'il prétend qu'ils y seraient entrés par le seul passage de sa main dans l'habitacle. Tout autant maladroitement, il prétend que le sac convoité avait déjà été fouillé par le tiers ayant brisé la vitre, ce qui implique que ledit sac aurait déjà été sorti par l'ouverture créée. Cette version des faits est invraisemblable et rend vaine sa détermination tendant à justifier la présence de débris de verre dans sa poche. A le suivre en effet, il n'aurait pas eu besoin de passer la main à travers la vitre brisée, le sac à dos étant à l'extérieur du véhicule. L'absence d'objet ayant pu servir à forcer cette vitre n'est pas de nature à exclure l'action de l'appelant, tant il a pu s'en débarrasser avant d'être surpris en train de fouiller le sac. Il existe ainsi un faisceau d'indices suffisant qui convainc qu'il a bien cassé cette vitre pour s'emparer de l'objet convoité de sorte qu'il sera reconnu coupable de dommages à la propriété et le jugement de première instance réformé sur ce point.</w:t>
      </w:r>
    </w:p>
    <w:p>
      <w:r>
        <w:rPr>
          <w:b/>
        </w:rPr>
        <w:t>E. 3.1</w:t>
      </w:r>
    </w:p>
    <w:p>
      <w:r>
        <w:t>Les nouvelles dispositions sur le droit des sanctions sont entrées en vigueur le 1er janvier 2018, réforme qui marque globalement un durcissement. Le prononcé d’une peine privative de liberté même courte est possible si cette sanction paraît justifiée pour détourner l’auteur d’autres crimes ou délits ou s’il y a lieu de craindre</w:t>
      </w:r>
    </w:p>
    <w:p>
      <w:r>
        <w:t>- 7/16 - P/26385/2017 qu’une peine pécuniaire ne puisse pas être exécutée, sans que les conditions du sursis doivent être exclues (art. 41 al. 1 CP). Il est ainsi plus sévère sur ce plan. En l'espèce, l'application de l'ancien ou du nouveau droit ne conduirait pas à une solution différente s'agissant des critères de fixation et d'atténuation de la peine (cf. infra consid. 3.5.1.). L'art. 46 al. 1 nouveau CP s'avère par contre plus favorable au condamné (cf. infra consid. 3.4.1 ; prononcé d'une peine d'ensemble) de sorte que le nouveau droit sera appliqué in casu.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3.2.2.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Commentaire</w:t>
      </w:r>
    </w:p>
    <w:p>
      <w:r>
        <w:t>- 8/16 - P/26385/2017 romand : Code pénal I : art. 1-100 CP,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3.4</w:t>
      </w:r>
    </w:p>
    <w:p>
      <w:r>
        <w:t>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l'art. 49 CP par analogie.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arrêts du Tribunal fédéral 6B_879/2016 du 22 juin 2017 consid. 3.1 ; 6B_105/2016 du 11 octobre 2016 consid. 1.1). 3.5.1. En l'espèce, la faute de l'appelant n'est pas négligeable. Il s'en est pris au patrimoine d'autrui en l'endommageant pour s'approprier son bien dans le but de s'enrichir de manière illégitime. Pris en flagrant délit, il a empêché deux gendarmes d'accomplir leurs actes en prenant la fuite nonobstant leurs injonctions. Il s'est par ailleurs évertué à demeurer en Suisse, sans droit, pendant plus de deux mois et ce malgré ses trois précédentes condamnations pour, notamment, séjour illégal ainsi qu'une décision de renvoi entrée en force.</w:t>
      </w:r>
    </w:p>
    <w:p>
      <w:r>
        <w:t>- 9/16 - P/26385/2017 L'appelant n'a admis qu'une partie des infractions reprochées, étant relevé qu'il pouvait difficilement faire autrement au vu des circonstances de son interpellation. Sa collaboration doit être qualifiée de moyenne dans cette mesure, puisqu'il persiste, en appel, à plaider son acquittement pour le chef de dommages à la propriété nonobstant les éléments le mettant en cause. Ses mobiles sont égoïstes, relevant de la désinvolture face aux règles en vigueur et aux autorités chargées de les appliquer. Même si la précarité de la situation personnelle de l'appelant explique, en partie, ses agissements, elle ne saurait les justifier, étant relevé que sa vraisemblable absence totale de liens avec la Suisse rend encore moins compréhensible son insistance à rester dans ce pays. Jusqu'à la récente prise de contact de l'appelant avec le [service d'aide au retour] de G______, au demeurant non étayée si ce n'est indirectement par l'association F______, il n'y avait aucune manifestation de sa part d'une quelconque prise de conscience ou de démarche visant à quitter la Suisse. Bien qu'il ne soit, précisément, pour l'heure guère question que d'une prise de contact, dont on pourrait soupçonner un caractère purement opportuniste, la Cour concèdera une apparente ébauche de progrès. Il y a concours d'infractions entre les art. 139 et 144 CP, ainsi que 115 al. 1 let. b LEtr, ce qui commande une augmentation de la peine dans une juste proportion et exclut l'application de la Directive 2008/115/CE du Parlement européen et du Conseil relative aux normes et procédures communes applicables dans les États membres au retour des ressortissants de pays tiers en séjour irrégulier du 16 décembre 2008 (arrêt du Tribunal fédéral 6B_320/2013 du 29 août 2013 consid. 3.2). L'appelant n'a tiré aucune leçon de ses trois précédentes condamnations, sanctionnées par des peines pécuniaires, les deux premières étant assorties du sursis. Le pronostic le concernant est ainsi clairement défavorable. Les conditions du sursis ne sont plus réalisées, et seule une peine privative de liberté est désormais à même d'atteindre le but de prévention spéciale, une peine de travail d'intérêt général n'étant pas compatible avec le statut administratif de l'appelant. Les peines pécuniaires ont fait la preuve de leur totale inefficacité de sorte qu'il est temps de passer à une peine plus dissuasive. Au vu de ces éléments, une peine privative de liberté de 50 jours sera infligée à l'appelant. L'infraction à l'art. 286 CP, réprimée par un genre de peine différent, sera cumulée à la peine précédente, étant relevé que l'appelant n'a contesté ni sa quotité, de 10 jours- amende, ni le montant du jour-amende de CHF 10.-, en adéquation avec sa faute et sa situation personnelle, dont financière. Cette peine ne tient toutefois pas encore compte de la révocation des sursis. 3.5.2. En effet, au vu des multiples récidives intervenues dans les délais d'épreuve, s'agissant d'infractions contre le patrimoine et à la LEtr, et du pronostic clairement</w:t>
      </w:r>
    </w:p>
    <w:p>
      <w:r>
        <w:t>- 10/16 - P/26385/2017 défavorable tel que développé supra, la révocation des sursis octroyés le 30 mai 2015 par le Ministère public – au demeurant non remise en cause par l'appelant – et le Tribunal de police le 13 mars 2017 s'impose. L'appelant n'a manifestement pas tenu compte des chances qui lui ont été données par l'octroi de ces deux premiers sursis. Même s'il affiche désormais un souhait de retourner dans son pays d'origine, force est de constater que ses démarches en leur état actuel s'avèrent complexes et non abouties, de sorte que le risque de commission de nouvelles infractions semblables est patent. Ainsi, après révocation desdits sursis, une peine d'ensemble de (90 + 30 + 10 = 130 avant peine d'ensemble) 110 jours-amende, à CHF 10.- l'unité, sera prononcée.</w:t>
      </w:r>
    </w:p>
    <w:p>
      <w:r>
        <w:rPr>
          <w:b/>
        </w:rPr>
        <w:t>E. 4.1</w:t>
      </w:r>
    </w:p>
    <w:p>
      <w:r>
        <w:t>Aux termes de l'art. 428 al. 3 CPP, si l'autorité de recours rend elle-même une nouvelle décision, elle se prononce également sur les frais fixés par l'autorité inférieure. La culpabilité de l'appelant est aggravée en appel par sa condamnation pour dommages à la propriété, de même que sa peine. Il ne bénéficie ainsi plus en particulier d'un acquittement partiel de sorte que l'intégralité des frais de la procédure de première instance, s'élevant à CHF 1'581.-, sera mise à sa charge (art. 426 al. 1 CPP). L'appelant succombe entièrement en appel et le Ministère public obtient gain de cause dans son appel joint. Ainsi, l'appelant supportera également les frais de la procédure d'appel, comprenant un émolument de décision de CHF 1'700.- (art. 428 CPP et 14 al. 1 let. e du Règlement fixant le tarif des frais en matière pénale du 22 décembre 2010 [RS E 4 10.03]).</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depuis le 1er octobre 2018, selon le tarif horaire suivant, débours de l'étude inclus : avocat stagiaire CHF 110.- (let. a) ; chef d'étude CHF 200.- (let. c).</w:t>
      </w:r>
    </w:p>
    <w:p>
      <w:r>
        <w:t>5.2.2. À teneur de la jurisprudence, est décisif pour fixer la rémunération de l'avocat, le nombre d'heures nécessaires pour assurer la défense d'office du prévenu (arrêt du</w:t>
      </w:r>
    </w:p>
    <w:p>
      <w:r>
        <w:t>- 11/16 - P/26385/2017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- 12/16 - P/26385/2017</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couverte par le forfait (AARP/425/2013 du 12 septembre 2013 [énoncé du principe]). 5.2.4. Dans le cadre des mandats d'office, l'État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écartant la rédaction de conclusions civiles en appel reprenant celles déposées en première instance).</w:t>
      </w:r>
    </w:p>
    <w:p>
      <w:r>
        <w:t>5.2.5. Le régime applicable aux visites des clients en détention provisoire ne s'applique pas au détenu condamné, par exemple celui qui agit en révision ou plaide l'octroi de la libération conditionnelle, celui-ci ne se trouvant pas dans la situation particulière de la personne en détention préventive ; seules seront donc retenues la/les visite(s) effectivement nécessaire(s) à la procédure, telle la préparation de la demande de révision ou d'audiences (AARP/168/2016 du 26 avril 2016 consid. 4.2 et AARP/526/2015 du 7 décembre 2015 consid 4.3.1 [demande de libération</w:t>
      </w:r>
    </w:p>
    <w:p>
      <w:r>
        <w:t>- 13/16 - P/26385/2017 conditionnelle] ; AARP/571/2014 du 29 décembre 2014 consid. 4.1.3 confirmé par la décision de la Cour des plaintes du Tribunal pénal fédéral BB.2015.8 du 21 juillet 2015 consid. 7.2 [demande de révision]).</w:t>
      </w:r>
    </w:p>
    <w:p>
      <w:r>
        <w:rPr>
          <w:b/>
        </w:rPr>
        <w:t>E. 5.3</w:t>
      </w:r>
    </w:p>
    <w:p>
      <w:r>
        <w:t>En l'occurrence il se justifie, en application des principes qui précèdent, de retrancher de l'état de frais de Me B______, défenseure d'office de A______ :  1h d'entretien avec le client à l'Etude, deux entretiens de chacun 30 minutes s'avérant suffisants pour décider de l'opportunité de former appel/appel joint, respectivement discuter de la position à adopter dans les écritures, dans un dossier dénué de toute complexité et bien connu pour avoir été suivi ab initio ;  3h des deux postes liés à la rédaction des mémoires, une durée globale de 4h s'avérant suffisante pour les arguments, encore une fois dénués de toute complexité, à y développer ;  15 minutes du poste "prise de connaissance du mémoire sur appel joint", entrant dans le forfait pour activités diverses, étant relevé que l'argumentation y développée tient à bon escient sur à peine 2 pages.</w:t>
      </w:r>
    </w:p>
    <w:p>
      <w:r>
        <w:rPr>
          <w:b/>
        </w:rPr>
        <w:t>E. 5.4</w:t>
      </w:r>
    </w:p>
    <w:p>
      <w:r>
        <w:t>En conclusion, l'indemnité sera arrêtée à CHF 827.15 correspondant à 1h d'activité au tarif de CHF 200.-/heure, 4h à celui de CHF 110.- (CHF 440.-), plus la majoration forfaitaire de 20% (CHF 128.-) et l'équivalent de la TVA au taux de 7.7% CHF 59.15. * * * * *</w:t>
      </w:r>
    </w:p>
    <w:p>
      <w:r>
        <w:t>- 14/16 - P/26385/2017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