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AARP/401/2015 vom 15. September 2015</w:t>
      </w:r>
    </w:p>
    <w:p>
      <w:r>
        <w:t>GE Cour de justice, 2015-09-15, FR</w:t>
      </w:r>
    </w:p>
    <w:p>
      <w:r>
        <w:rPr>
          <w:b/>
        </w:rPr>
        <w:t xml:space="preserve">Quelle: </w:t>
      </w:r>
      <w:r>
        <w:t>https://mcp.opencaselaw.ch/entscheid/ge_gerichte_AARP_401_2015</w:t>
      </w:r>
    </w:p>
    <w:p>
      <w:r>
        <w:t>FR: GE_GERICHTE AARP/401/2015 du 15 septembre 2015</w:t>
      </w:r>
    </w:p>
    <w:p>
      <w:r>
        <w:t>IT: GE_GERICHTE AARP/401/2015 del 15 settembre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- 6/13 - P/2616/2014</w:t>
      </w:r>
    </w:p>
    <w:p>
      <w:r>
        <w:t>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2.1.2.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w:t>
      </w:r>
    </w:p>
    <w:p>
      <w:r>
        <w:t>- 7/13 - P/2616/2014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2.1.3.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2.2.1.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Ni la situation économique de l'auteur ni le fait que son insolvabilité est prévisible ne constituent des critères pertinents pour choisir la nature de la sanction (ATF 134 IV 97 consid. 5.2.3 p. 106 ; arrêt du Tribunal fédéral 6B_541/2007 du 13 mai 2008 consid. 5.1). 2.2.2. Le prononcé d'un travail d'intérêt général suppose l'accord de l'intéressé et n'est justifié qu'autant que l'on puisse au moins prévoir que ce dernier pourra, cas échéant</w:t>
      </w:r>
    </w:p>
    <w:p>
      <w:r>
        <w:t>- 8/13 - P/2616/2014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(arrêts du Tribunal fédéral 6B_787/2014 du 27 novembre 2014 consid. 1.3.2 et 6B_262/2012 du 4 octobre 2012 consid. 1.3.2). 2.3.1. L'infraction à l'art. 19 al. 1 LStup est passible d'une peine privative de liberté de trois ans au plus ou d'une peine pécuniaire, celle réprimée à l'art. 115 al. 1 let b. LEtr d'une peine privative de liberté d'un an au plus ou d'une peine pécuniaire. 2.3.2. En l'espèce, il ne saurait être accordé trop d'importance aux antécédents de l'appelant pour juger du risque de réitération. Outre sa première condamnation comme mineur, il n'a été condamné comme majeur qu'à une seule reprise et ce quatre ans et demi plus tard, pour un séjour illégal de courte durée (trois mois) et une infraction à la LStup de portée relative. Il n'en reste pas moins qu'au vu de la répétition d'infractions de même nature et du refus explicite de l'appelant de collaborer aux procédures de renvoi initiées, sans pour autant que des démarches visant à régulariser sa situation n'aient été entreprises, hormis le dépôt annoncé d'une troisième demande d'asile d'emblée vouée à l'échec, le pronostic ne peut qu'être défavorable. L'absence d'attaches de l'appelant en Suisse ne permet au surplus pas d'infirmer ce point de vue. A cela s'ajoute une situation précaire qui augmente encore le risque de commission de nouvelles infractions. Par conséquent, seule une peine ferme pouvait être prononcée. Si un travail d'intérêt général est inenvisageable vu le statut de l'appelant au regard du droit des étrangers, une peine pécuniaire correspond beaucoup mieux au cas d'espèce qu'une peine privative de liberté, les comportements de l'appelant ne relevant objectivement guère plus que de la petite criminalité. Par ailleurs, on ne peut conclure sur la base d'une seule condamnation (en tant que majeur) à une peine pécuniaire avec sursis non respectée, que l'appelant est insensible au signal d'une telle peine ou qu'il n'aurait aucune intention de s'en acquitter. Au vu de ce qui précède, l'exception que constitue le prononcé d'une courte peine privative de liberté ne se justifie pas, de sorte que le jugement entrepris doit être réformé sur ce point. Le séjour illégal n'étant pas la seule infraction sanctionnée, et vu le type de peine à prononcer, aucune question spécifique ne se pose au regard de la directive sur le retour 2008/115/CE et de la jurisprudence y relative.</w:t>
      </w:r>
    </w:p>
    <w:p>
      <w:r>
        <w:t>- 9/13 - P/2616/2014 2.4.1. Conformément à l'art. 34 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Le prononcé d'une peine pécuniaire modique est ainsi possible à l'encontre des personnes ne réalisant qu'un faible revenu ou qui sont démunies, telles les bénéficiaires de l'aide sociale, les personnes sans activité professionnelle, celles qui s'occupent du ménage ou encore les étudiants, par exemple (ATF 134 IV 97 consid. 5.2.3 p. 104 ; arrêt du Tribunal fédéral 6B_541/2007 du 13 mai 2008 consid. 5.1). 2.4.2.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2.5</w:t>
      </w:r>
    </w:p>
    <w:p>
      <w:r>
        <w:t>In casu, l'appelant a fait fi des normes en vigueur en matière de droit des étrangers, s'évertuant à demeurer en Suisse sans droit, et ce malgré une précédente condamnation pour séjour illégal et deux décisions de renvoi. La période pénale étant courte – deux mois et demi –, sa faute est légère, mais néanmoins pas anodine, vu les éléments qui précèdent et les facilités de retour existantes pour les ressortissants guinéens. La faute de l'appelant est également peu importante en ce qui concerne la vente de cocaïne, vu la quantité en cause – moins de cinq grammes – et son rôle – revendeur de rue – dans le trafic local. Son mobile est égoïste, ayant manifestement agi par appât d'un gain facile.</w:t>
      </w:r>
    </w:p>
    <w:p>
      <w:r>
        <w:t>- 10/13 - P/2616/2014 La situation personnelle de l'appelant, bien que précaire, ne révèle aucun facteur à décharge. Sa vraisemblable absence totale de liens avec la Suisse rend encore moins compréhensible son insistance à rester dans ce pays. Sa collaboration à la procédure a été correcte. S'il a immédiatement reconnu les faits qui lui étaient reprochés, il a néanmoins minimisé sa responsabilité. En outre, interpellé sur le territoire suisse sur lequel il séjournait sans droit, et pris en flagrant délit, il pouvait difficilement contester les charges. Il y a concours d'infractions. Un facteur d'atténuation de la peine doit être pris en considération, soit l'intervention de la police dans la transaction portant sur la vente de cocaïne, mais relativisé dans la mesure où le policier n'a in casu manifestement exercé qu'une influence minime, voire nulle, sur la faute de l'appelant (cf. arrêt du Tribunal fédéral 6P.91/2003 du 19 janvier 2004 consid. 8 et les références citées). Le nombre de 90 jours (trois mois), initialement retenu par le premier juge, reflète adéquatement ces éléments et doit en conséquence être maintenu dans le cadre de la peine pécuniaire prononcée. Compte tenu de la condition modeste de l'appelant, le montant du jour-amende sera fixé au minimum jurisprudentiel de CHF 10.-. Un éventuel sursis ne peut pas entrer en considération vu le pronostic défavorable déjà exposé (cf. infra ch. 2.3.2). La non-révocation du précédent sursis est acquise à l'appelant (art. 391 al. 2 CPP). Le jugement entrepris sera ainsi réformé dans cette mesure.</w:t>
      </w:r>
    </w:p>
    <w:p>
      <w:r>
        <w:rPr>
          <w:b/>
        </w:rPr>
        <w:t>E. 3.1</w:t>
      </w:r>
    </w:p>
    <w:p>
      <w:r>
        <w:t>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(ACPR/41/2012 du 30 janvier 2012 ; M. NIGGLI / M. HEER / H. WIPRÄCHTIGER (éds), Strafprozessordnung – Jugendstrafprozessordnung, Basler Kommentar StPO/JStPO, 2e éd., Bâle 2014 n. 10 ad art. 436).</w:t>
      </w:r>
    </w:p>
    <w:p>
      <w:r>
        <w:rPr>
          <w:b/>
        </w:rPr>
        <w:t>E. 3.2</w:t>
      </w:r>
    </w:p>
    <w:p>
      <w:r>
        <w:t>En l'occurrence, l'appelant a obtenu gain de cause en appel, de sorte que le principe d'une indemnisation de ses frais d'avocat lui est acquis. L'appelant n'a produit aucun document permettant de déterminer l'ampleur de l'activité déployée par son Conseil. Sur la base du dossier, une indemnité de</w:t>
      </w:r>
    </w:p>
    <w:p>
      <w:r>
        <w:t>- 11/13 - P/2616/2014 CHF 800.-, plus TVA, pour deux heures d'activité – soit la rédaction du mémoire d'appel –, au taux horaire usuel à Genève de CHF 400.-, paraît adéquate.</w:t>
      </w:r>
    </w:p>
    <w:p>
      <w:r>
        <w:rPr>
          <w:b/>
        </w:rPr>
        <w:t>E. 4.1</w:t>
      </w:r>
    </w:p>
    <w:p>
      <w:r>
        <w:t>L'appel ayant été admis, il ne sera pas perçu de frais (art. 428 CPP a contrario).</w:t>
      </w:r>
    </w:p>
    <w:p>
      <w:r>
        <w:rPr>
          <w:b/>
        </w:rPr>
        <w:t>E. 4.2</w:t>
      </w:r>
    </w:p>
    <w:p>
      <w:r>
        <w:t>Dans la mesure où l'appel a conduit à la réformation d'une partie du jugement entrepris, celui-ci sera également modifié en ce sens que l'émolument complémentaire de jugement de CHF 600.- doit être laissé à la charge de l'Etat. * * * * *</w:t>
      </w:r>
    </w:p>
    <w:p>
      <w:r>
        <w:t>- 12/13 - P/2616/2014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