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AARP/400/2020 vom 3. Dezember 2020</w:t>
      </w:r>
    </w:p>
    <w:p>
      <w:r>
        <w:t>GE Cour de justice, 2020-12-03, FR</w:t>
      </w:r>
    </w:p>
    <w:p>
      <w:r>
        <w:rPr>
          <w:b/>
        </w:rPr>
        <w:t xml:space="preserve">Quelle: </w:t>
      </w:r>
      <w:r>
        <w:t>https://mcp.opencaselaw.ch/entscheid/ge_gerichte_AARP_400_2020</w:t>
      </w:r>
    </w:p>
    <w:p>
      <w:r>
        <w:t>FR: GE_GERICHTE AARP/400/2020 du 3 décembre 2020</w:t>
      </w:r>
    </w:p>
    <w:p>
      <w:r>
        <w:t>IT: GE_GERICHTE AARP/400/2020 del 3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Les infractions à l'art. 19 al. 1 LStup et à l'art. 115 al. 1 LEI sont punies soit d'une peine privative de liberté de trois ans, respectivement d'un an au plus, soit d'une peine pécuniaire.</w:t>
      </w:r>
    </w:p>
    <w:p>
      <w:r>
        <w:rPr>
          <w:b/>
        </w:rPr>
        <w:t>E. 2.1</w:t>
      </w:r>
    </w:p>
    <w:p>
      <w:r>
        <w:t>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w:t>
      </w:r>
    </w:p>
    <w:p>
      <w:r>
        <w:t>- 5/11 - P/15098/2019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2.2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2.3</w:t>
      </w:r>
    </w:p>
    <w:p>
      <w:r>
        <w:t>Selon l'art. 49 al. 1 CP, 1ère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2.4</w:t>
      </w:r>
    </w:p>
    <w:p>
      <w:r>
        <w:t>Le juge suspend en règle générale l'exécution d'une peine pécuniaire ou d'une peine privative de liberté de deux ans au plus lorsqu'une peine ferme ne paraît pas nécessaire pour détourner l'auteur d'autres crimes ou délits (art. 42 al. 1 CP).</w:t>
      </w:r>
    </w:p>
    <w:p>
      <w:r>
        <w:t>- 6/11 - P/15098/2019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sont pertinents (ATF 135 IV 180 consid. 2.1 et 134 IV 140 consid. 4.2).</w:t>
      </w:r>
    </w:p>
    <w:p>
      <w:r>
        <w:rPr>
          <w:b/>
        </w:rPr>
        <w:t>E. 2.5</w:t>
      </w:r>
    </w:p>
    <w:p>
      <w:r>
        <w:t>Selon l'art. 46 al. 1 CP, 1ère phrase,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CP, 1ère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 arrêt du Tribunal fédéral 6B_879/2016 du 22 juin 2017 consid. 3.1). 2.6.1. En l'espèce, la faute du prévenu en relation avec la détention de stupéfiants n'est pas légère au vu de la quantité en cause, destinée à la vente de 23 sachets de marijuana d'environ trois grammes chacun. Titulaire d'un titre de séjour en Italie et y ayant la possibilité de travailler, il disposait d'une alternative légale à la vente de drogue pour subvenir à ses besoins. Sa collaboration à la procédure a été mauvaise dans la mesure où il a prétendu durant la procédure préliminaire, en contradiction flagrante avec les apparences, que la drogue ne lui appartenait pas et qu'elle n'était pas destinée à la vente. Il a en outre tenu des propos inconstants au sujet de sa présence en Suisse ou en Italie depuis 2018. Il a un antécédent spécifique antérieur aux faits d'un peu plus de quatre mois seulement. Ses regrets et sa promesse de ne plus recommencer, qu'il n'a exprimés qu'en première instance, apparaissent de pure circonstance et ne témoignent d'aucune réelle prise de conscience de la faute. Il n'a évoqué son activité dans l'agriculture en Italie, en tout état irrégulière et au sujet de laquelle il n'apporte aucune précision, que</w:t>
      </w:r>
    </w:p>
    <w:p>
      <w:r>
        <w:t>- 7/11 - P/15098/2019 sur question de son conseil, sans explicitement s'engager à y rentrer pour travailler et après avoir dit au MP devoir encore réfléchir à ce qu'il ferait à l'avenir. Il en résulte une forte probabilité qu'il revienne, voire demeure à Genève pour poursuivre la vente de stupéfiants qu'il ne semble pas vouloir sincèrement abandonner, quoi qu'il en dise en appel. La faute liée au séjour illégal n'est pas sans gravité au vu de sa durée de plus de quatre mois et de la possibilité du prévenu de résider légalement en Italie. Il a certes d'emblée reconnu les faits en cause mais, pour le surplus, les éléments à charge mis en évidence ci-dessus, concernant son antécédent, le défaut de prise de conscience de la faute et le risque de récidive, peuvent être repris. Eu égard à ce qui précède, l'infraction à l'art. 19 LStup, abstraitement la plus grave, peut être sanctionnée d'une peine de 50 unités pénales. Au vu de l'aggravante résultant du concours avec le séjour illégal, la quotité de la peine querellée est conforme au droit et sera confirmée. 2.6.2. La nature de la peine n'est pas non plus contestable. La peine pécuniaire prononcée seulement quatre mois plus tôt, pour des faits quasi identiques, n'a eu aucun effet dissuasif sur le prévenu. Elle ne pourra en outre très vraisemblablement pas être exécutée faute d'activité lucrative régulière de ce dernier en Suisse ou en Italie. 2.6.3. Son pronostic est défavorable au vu de la récidive quasi immédiate, de l'absence de prise de conscience de la faute et surtout d'un quelconque projet de vie concret, en Italie ou ailleurs, laissant apparaître une chance d'amendement. Le refus du sursis sera dès lors également confirmé. 2.6.4. L'appelant a commis les infractions en cause durant le délai d'épreuve relatif au sursis précédemment octroyé. Non seulement son pronostic est défavorable pour les raisons susexposées, mais il n'apparaît en outre pas, au vu de la rapidité avec laquelle il a récidivé et de l'absence de tout élément permettant d'escompter un changement de comportement, que la courte peine privative de liberté prononcée suffira à le dissuader de rester ou de revenir en Suisse pour y vendre des stupéfiants. La révocation du précédent sursis par le premier juge sera donc confirmée. 3. L'appelant, qui succombe, supportera les frais de la procédure envers l'État (art. 428 CPP), comprenant un émolument de CHF 1'000.- (art. 14 al. 1 let. e du règlement fixant le tarif des frais en matière pénale [RTFMP]). 4. Considéré globalement, l'état de frais produit par la défenseure d'office satisfait les exigences légales et jurisprudentielles régissant l'assistance judiciaire gratuite en matière pénale.</w:t>
      </w:r>
    </w:p>
    <w:p>
      <w:r>
        <w:t>- 8/11 - P/15098/2019</w:t>
      </w:r>
    </w:p>
    <w:p>
      <w:r>
        <w:t>La rémunération de Me B______ sera partant arrêtée à CHF 426.50, correspondant à 3h00 d'activité au tarif de CHF 110.-/heure (CHF 330.-), plus la majoration forfaitaire de 20% (CHF 66.-) et l'équivalent de la TVA au taux de 7.7% en CHF 30.50.</w:t>
      </w:r>
    </w:p>
    <w:p>
      <w:r>
        <w:t>* * * * *</w:t>
      </w:r>
    </w:p>
    <w:p>
      <w:r>
        <w:t>- 9/11 - P/15098/2019</w:t>
      </w:r>
    </w:p>
    <w:p>
      <w:r>
        <w:rPr>
          <w:b/>
        </w:rPr>
        <w:t>E. 6</w:t>
      </w:r>
    </w:p>
    <w:p>
      <w:r>
        <w:t>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