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AARP/39/2017 vom 8. Februar 2017</w:t>
      </w:r>
    </w:p>
    <w:p>
      <w:r>
        <w:t>GE Cour de justice, 2017-02-08, FR</w:t>
      </w:r>
    </w:p>
    <w:p>
      <w:r>
        <w:rPr>
          <w:b/>
        </w:rPr>
        <w:t xml:space="preserve">Quelle: </w:t>
      </w:r>
      <w:r>
        <w:t>https://mcp.opencaselaw.ch/entscheid/ge_gerichte_AARP_39_2017</w:t>
      </w:r>
    </w:p>
    <w:p>
      <w:r>
        <w:t>FR: GE_GERICHTE AARP/39/2017 du 8 février 2017</w:t>
      </w:r>
    </w:p>
    <w:p>
      <w:r>
        <w:t>IT: GE_GERICHTE AARP/39/2017 del 8 febbraio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- 6/15 - P/14047/2015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Les infractions de dommages à la propriété, de violation de domicile et de conduite en état d'ébriété avec un taux d'alcool qualifié sont punies d'une peine privative de liberté de trois ans au plus (art. 144 al. 1 et 186 CP ; art. 91 al. 2 lit. a LCR) et celle de vol d'une peine privative de liberté de cinq ans au plus (art. 139 ch. 1 CP).</w:t>
      </w:r>
    </w:p>
    <w:p>
      <w:r>
        <w:t>A teneur de l'art. 22 CP, le juge peut atténuer la peine si l'exécution d'un crime ou d'un délit n'est pas poursuivie jusqu'à son terme, respectivement si le résultat nécessaire à la consommation de l'infraction ne se produit pas ou ne pouvait pas se produire.</w:t>
      </w:r>
    </w:p>
    <w:p>
      <w:r>
        <w:t>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w:t>
      </w:r>
    </w:p>
    <w:p>
      <w:r>
        <w:t>- 7/15 - P/14047/2015 disposition ou, enfin, si la peine qu'il prononce est exagérément sévère ou clémente au point de constituer un abus du pouvoir d'appréciation (ATF 136 IV 55 consid. 5.6 p. 61 ; arrêt du Tribunal fédéral 6B_1249/2014 du 7 septembre 2015 consid. 1.2). 2.1.3.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(art. 369 al. 7 CP ; ATF 135 IV 87 consid. 2 p. 89 ss). Les antécédents judiciaires ne sauraient toutefois conduire à une augmentation massive de la peine, parce que cela reviendrait à condamner une deuxième fois pour des actes déjà jugés (ATF 120 IV 136 consid. 3b p. 145). 2.1.4.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d'ensemble n'est pas possible en cas de sanctions de genre différent. Ainsi, une peine privative de liberté ne peut être prononcée comme peine complémentaire d'une sanction pécuniaire (ATF 137 IV 57 consid. 4.3.1).</w:t>
      </w:r>
    </w:p>
    <w:p>
      <w:r>
        <w:t>- 8/15 - P/14047/2015 2.1.5.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197 consid. 4 p. 100 ; arrêts du Tribunal fédéral 6B_714/2015 du 28 septembre 2015 consid. 1.1 et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6B_889/2015 du 30 mai 2016 consid. 4.3 ; 6B_196/2012 du 24 janvier 2013 consid. 3.3). 2.1.6. Pour l'octroi du sursis (art. 42 al. 1 CP), le juge doit poser un pronostic quant au comportement futur de l'auteur. La question de savoir si le sursis serait de nature à détourner l'accusé de commettre de nouvelles infractions doit être tranchée sur la</w:t>
      </w:r>
    </w:p>
    <w:p>
      <w:r>
        <w:t>- 9/15 - P/14047/2015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2.2</w:t>
      </w:r>
    </w:p>
    <w:p>
      <w:r>
        <w:t>En l'espèce, la faute de A______ ne saurait être qualifiée de légère. En effet, il a commis, respectivement tenté de commettre, en l'espace d'une soirée, plusieurs infractions contre la circulation routière, la sécurité publique, le patrimoine et la liberté d'autrui. Il y a concours d'infractions au sens de l'art. 49 al. 1 CP, ce qui justifie une augmentation de la peine dans une juste proportion. Sa collaboration à la procédure a été moyenne, dès lors qu'il a commencé par nier la tentative de cambriolage, avant de reconnaître y avoir participé. Sa situation personnelle en Suisse était, certes, relativement précaire, mais il y contribuait, en demeurant dans un pays où il n'avait aucune perspective professionnelle. La prise de conscience du caractère délictueux de son comportement est inexistante en ce qui concerne l'infraction à la LCR, l'appelant continuant à faire fi des règles de la circulation routière, compte tenu de la condamnation du MP du 1er novembre 2016. La Cour retient également que l'appelant ne s'est jamais présenté à ses audiences de jugement ni d'appel, au motif notamment qu'il craignait de revenir sur le territoire Suisse, ce qui ne l'a pourtant pas empêché d'y circuler sans permis en août 2016.</w:t>
      </w:r>
    </w:p>
    <w:p>
      <w:r>
        <w:t>- 10/15 - P/14047/2015 Il n'y a pas lieu de prononcer une peine complémentaire au sens de l'art. 49 al. 2 CP en raison de la condamnation précitée, la sanction prononcée à ce titre étant une peine pécuniaire, soit d'un genre différent. Il convient, en revanche, de tenir compte du fait que l'appelant dispose désormais d'un logement et a travaillé en qualité de maçon jusqu'au 31 janvier 2017, ce qui dénote une volonté de réinsertion. Le suivi médical dont il dit bénéficier n'est toutefois aucunement documenté. Aucune des circonstances atténuantes prévues par l'art. 48 CP n'est réalisée, ni d’ailleurs plaidée. La responsabilité de l'appelant était pleine et entière, dans la mesure où la jurisprudence retient qu'une personne présentant un taux d'alcoolémie dans le sang inférieur à 2 ‰ doit être considérée, en principe, comme totalement responsable (ATF 122 IV 49 consid. 1b ; 119 IV 120 consid. 2b ; 117 IV 292 consid. 2d ; arrêt du Tribunal fédéral 6B_960/2009 du 30 mars 2010 consid. 1.2). S'agissant des antécédents de l'appelant, il a été condamné à trois reprises avant les faits, objets de la présente procédure, soit les 19 avril et 8 octobre 2010 ainsi que le 20 novembre 2013, pour des agissements similaires, étant rappelé qu'il a poursuivi son activité délictuelle après les infractions présentement reprochées. Il est en particulier regrettable qu'il n'ait pas su saisir la chance qui lui avait été donnée consistant dans le bénéfice du sursis prononcé le 30 septembre 2013. La renonciation à révoquer ce dernier lui est toutefois acquise (art. 391 al. 2 CPP). Ces condamnations n'ont eu aucun effet dissuasif sur l'appelant, si bien que le pronostic ne peut être que défavorable. L'appelant ne saurait donc être mis au bénéfice du sursis. Par ailleurs, l'appelant a persisté dans la délinquance, malgré ses précédentes condamnations, notamment la peine pécuniaire qui lui a été infligée le 30 septembre 2013. Le prononcé d'une sanction de ce type apparaît d'emblée dénué d'efficacité et doit être exclu. Il en va de même du travail d'intérêt général, au demeurant non requis par l'intéressé, compte tenu de son statut administratif en Suisse. En regard de ces considérations, la courte peine privative de liberté de cinq mois prononcée par le premier juge est exempte de critique. Le jugement entrepris sera partant confirmé et l'appel sera rejeté.</w:t>
      </w:r>
    </w:p>
    <w:p>
      <w:r>
        <w:t>- 11/15 - P/14047/2015</w:t>
      </w:r>
    </w:p>
    <w:p>
      <w:r>
        <w:rPr>
          <w:b/>
        </w:rPr>
        <w:t>E. 3</w:t>
      </w:r>
    </w:p>
    <w:p>
      <w:r>
        <w:t>L'appelant, qui succombe, supportera les frais de la procédure d'appel, lesquels comprennent un émolument de CHF 1'500.- (art. 428 CPP et 14 al. 1 let. e du Règlement fixant le tarif des frais en matière pénale du 22 décembre 2010 [RTFMP - RS E 4 10.03]).</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L'alinéa 1 de cette dernière disposition prescrit que l'indemnité, en matière pénale, est calculée selon le tarif horaire de CHF 200.- pour le chef d'étude (let. c), débours de l'étude inclus (cf. décision de la Cour des plaintes du Tribunal pénal fédéral BB.2013.127 du 4 décembre 2013 consid. 3/4.2-4.4). Est versée en sus, une majoration forfaitaire de 20% jusqu'à 30h00 d'activité consacrée aux conférences, audiences et autres actes de la procédure, pour les démarches diverses, telles que rédaction de courriers, entretiens téléphoniques, prise de connaissance de décisions, etc., et de 10 % au-delà.</w:t>
      </w:r>
    </w:p>
    <w:p>
      <w:r>
        <w:t>4.2.2. Les prestations de services fournies sur le territoire suisse par un avocat dans le cadre d'une défense d'office sont soumis à la TVA pour autant que cet avocat, qu'il s'agisse d'un chef d'étude ou d'un collaborateur, y soit assujetti (ATF 139 IV 261 ; arrêts du Tribunal fédéral 6B_486/2013 du 16 juillet 2013 et 6B_638/2012 du 10 décembre 2012).</w:t>
      </w:r>
    </w:p>
    <w:p>
      <w:r>
        <w:t>4.2.3.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4.3</w:t>
      </w:r>
    </w:p>
    <w:p>
      <w:r>
        <w:t>En l'espèce, considéré dans sa globalité, le remboursement de frais sollicité par le défenseur d'office de l'appelant paraît adéquat et conforme aux principes qui</w:t>
      </w:r>
    </w:p>
    <w:p>
      <w:r>
        <w:t>- 12/15 - P/14047/2015 précèdent, de sorte qu'il n'est pas nécessaire de reprendre le détail des postes qui le composent</w:t>
      </w:r>
    </w:p>
    <w:p>
      <w:r>
        <w:t>Il n'y a pas lieu à couverture de la TVA, à défaut d'assujettissement de Me B______.</w:t>
      </w:r>
    </w:p>
    <w:p>
      <w:r>
        <w:t>En conséquence, l'indemnité sera arrêtée à CHF 600.- correspondant à 2h30 d'activité au tarif de CHF 200.-/heure, plus la majoration forfaitaire de 20% (CHF 100.-).</w:t>
      </w:r>
    </w:p>
    <w:p>
      <w:r>
        <w:t>* * * * *</w:t>
      </w:r>
    </w:p>
    <w:p>
      <w:r>
        <w:t>- 13/15 - P/14047/2015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