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AARP/398/2020 vom 2. Dezember 2020</w:t>
      </w:r>
    </w:p>
    <w:p>
      <w:r>
        <w:t>GE Cour de justice, 2020-12-02, FR</w:t>
      </w:r>
    </w:p>
    <w:p>
      <w:r>
        <w:rPr>
          <w:b/>
        </w:rPr>
        <w:t xml:space="preserve">Quelle: </w:t>
      </w:r>
      <w:r>
        <w:t>https://mcp.opencaselaw.ch/entscheid/ge_gerichte_AARP_398_2020</w:t>
      </w:r>
    </w:p>
    <w:p>
      <w:r>
        <w:t>FR: GE_GERICHTE AARP/398/2020 du 2 décembre 2020</w:t>
      </w:r>
    </w:p>
    <w:p>
      <w:r>
        <w:t>IT: GE_GERICHTE AARP/398/2020 del 2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w:t>
      </w:r>
    </w:p>
    <w:p>
      <w:r>
        <w:t>- 7/15 - P/21829/2018 fédérale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il n'est pas nécessaire que l'acte du fonctionnaire soit rendu totalement impossible: il suffit qu'il soit entravé de telle manière qu'il ne puisse être accompli comme prévu ou qu'il soit rendu plus difficile (ATF 133 IV 97 consid. 4.2 p. 100 et consid 5.2 p. 102 ad art. 286 CP; 120 IV 136 consid. 2a p. 139).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w:t>
      </w:r>
    </w:p>
    <w:p>
      <w:r>
        <w:t>- 8/15 - P/21829/2018 fixé de manière absolue, mais dépend de critères relatifs. En particulier, il faut tenir compte de la constitution, du sexe et de l'expérience de la victime (ATF 101 IV 42 consid. 3a p. 44 s.; arrêt 6B_257/2010 du 5 octobre 2010 consid. 5.1.1).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2.4.1. A titre préliminaire, il sera rappelé que les faits reprochés à la police à la suite de la plainte déposée par l'appelant font l'objet d'une procédure distincte, soustraite, à tout le moins pour l’heure, à la cognition de la CPAR, dans la mesure où les</w:t>
      </w:r>
    </w:p>
    <w:p>
      <w:r>
        <w:t>- 9/15 - P/21829/2018 irrégularités identifiées par l’IGS touchent uniquement aux événements postérieurs à la tentative de l’intimé d’interpeller l’appelant. En ce qui concerne cet événement précis, le rapport de l’IGS n’apporte aucun élément nouveau, pas plus que les procès- verbaux des auditions effectuées par ledit service. 2.4.2. Bien qu’il affirme s'être contenté de "repousser" l'intimé, l’appelant ne conteste, à raison, pas être à l’origine de la marque rouge visible sur le cliché du policier versé au dossier. Cette marque, bien que légère, est d'une intensité suffisante pour retenir des voies de faits justifiant l'application de l'art. 285 CP, sans qu'il soit nécessaire de déterminer si elle a été causée par un coup donné la main ouverte ou fermée. Par ailleurs, même s’il n’avait provoqué aucune marque, le simple geste de frapper un policier aux visage relève d’un acte de violence, réprimé par l’art. 285 CP lorsqu’il est pratiqué sur un fonctionnaire en service. Il est par conséquent établi que l'appelant a bel et bien frappé l'intimé au moment où celui-ci tentait de le ceinturer, de sorte que tous les éléments constitutifs objectifs de l’infraction sont réalisés. 2.4.3. Reste à déterminer si, comme il l'affirme, l’appelant pensait alors avoir affaire à un voleur ou bien s'il savait ou devait se douter de ce qu'il s'agissait d'un policier qui procédait à son interpellation. Il sera tout d’abord observé que, s’il ne peut être exclu que des délinquants, singulièrement des vendeurs de drogue, puissent être eux-mêmes la cible de malfaiteurs, il est bien plus fréquent qu’ils soient l’objet de l’attention des forces de l’ordre. Tel est le danger premier auquel le vendeur de rue doit être attentif. L’expérience générale de la vie conduit donc plutôt à exclure que la première et unique explication que l’appelant ait donnée à la présence de plusieurs hommes puis encore d’un quidam tentant de l’intercepter fût celle qu’il avait affaire à des voleurs plutôt qu’à un dispositif policier. L'appelant a d'ailleurs indiqué à l'expert du CURML, le lendemain des faits, avoir pris la fuite dès qu'il s'était rendu compte qu'il venait de vendre de la drogue à un policier, soit bien avant sa rencontre avec l'intimé. Il n’y a pas de raison de penser que son propos ait été mal compris par l'expert, dans la mesure où il ressort dudit rapport que l'entretien s'est déroulé en français et partiellement en anglais, langues de toute évidence maîtrisées par l'expert, et qu'une interprète en a assuré la traduction en albanais pour l'appelant. Rien dans le rapport n'indique d'ailleurs que celle-ci se serait absentée avant la fin de l'entretien, comme l'affirme l'appelant. Le comportement de l'appelant à la suite de son altercation avec l'intimé est révélateur de sa détermination à échapper coûte que coûte aux forces de police, puisqu'il a persisté à s'enfuir, allant jusqu'à sauter par-dessus un véhicule en stationnement, même après l'arrivée sur les lieux d'un véhicule de police, certes banalisé, mais reconnaissable à ses gyrophares enclenchés, et s'est fortement débattu</w:t>
      </w:r>
    </w:p>
    <w:p>
      <w:r>
        <w:t>- 10/15 - P/21829/2018 lors de son arrestation, rendant nécessaires l'intervention de deux policiers et l'usage de la force. Ce constat achève de convaincre de l’inanité de la thèse de l’appelant. Il n’est ici pas nécessaire d’examiner quelle est la crédibilité de la partie plaignante, dès lors qu’il s’agit uniquement de déterminer quel pouvait être le for intérieur de l’appelant, ce qui dépend de sa propre crédibilité, mesurée à l’aune des éléments objectifs du dossier. Néanmoins, il sera observé qu’il est hautement plausible que l’intimé se soit légitimé lorsqu’il a tenté de bloquer l’appelant dans sa fuite. On ne voit pas pourquoi il ne l’aurait pas fait, ne serait-ce que dans l’espoir de convaincre le délinquant de ne pas résister, ce qui lui aurait facilité la tâche. D’ailleurs, la défense le concède à demi-mots, plaidant que le fait que le policier ait pu s’annoncer comme tel n’était pas de nature à dissuader l’appelant de penser qu’il s’agissait d’un voleur, rusé. Quoi qu’il en soit, pour les motifs qui précèdent, l’appelant ne saurait être suivi lorsqu'il affirme qu'il pensait avoir affaire à un malfaiteur à l'approche de l'intimé. Il est ainsi établi que l'appelant a délibérément asséné un coup à l'intimé, dont il savait ou du moins a nécessairement envisagé qu’il était un policier, afin d'empêcher son interpellation. L'appelant sera ainsi reconnu coupable d'infraction à l'art. 285 CP, l'appel étant rejeté sur ce point.</w:t>
      </w:r>
    </w:p>
    <w:p>
      <w:r>
        <w:rPr>
          <w:b/>
        </w:rPr>
        <w:t>E. 3.1</w:t>
      </w:r>
    </w:p>
    <w:p>
      <w:r>
        <w:t>L'infraction à l'art. 19 al. 1 LStup et la violence ou menace contre les autorités ou les fonctionnaires (art. 285 ch. 1 CP) sont réprimées par 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- 11/15 - P/21829/2018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3.3</w:t>
      </w:r>
    </w:p>
    <w:p>
      <w:r>
        <w:t>En l'espèce, la faute de l'appelant est sérieuse. Il était censé écouler 20 doses d’héroïne, soit un nombre important même si l’aggravante de l’art. 19 al 2 let a LStup n’a pas été retenue et s'en est pris à un policier, alors que celui-ci faisait son travail en tentant de l'interpeller. Son mobile relève de l’appât du gain pour le trafic de stupéfiants, ainsi que d'un mépris flagrant pour la loi et l'autorité en ce qui concerne l’infraction à l’art. 285 CP, doublé de l’intention de conserver le produit de la vente illicite, sans doute destiné à celui qui l’avait mis en œuvre, mais contre rémunération. Sa collaboration n’appelle pas de commentaire en ce qui concerne la première infraction, étant rappelé qu’il a été surpris en flagrant délit, et doit être qualifiée de mauvaise pour le coup donné à la partie plaignante, puisqu'il n'a eu de cesse de minimiser les faits. Il en découle une prise de conscience partielle de la gravité de ses actes. La situation personnelle de l’appelant ne saurait justifier son comportement, ce d'autant qu'il dit avoir quitté un emploi en Albanie pour venir à Genève. Compte tenu du caractère manifestement non recouvrable d'une éventuelle peine- pécuniaire, seule une peine privative de liberté peut entrer en considération pour sanctionner adéquatement la faute de l'appelant. C’est ainsi en vain qu’il invoque l’arrêt 144 IV 217, qui n’interdit pas le prononcé d’une peine d’ensemble si chaque infraction considérée appelle le même genre de sanction. La peine menace étant identique pour les deux infractions, il sera retenu que la plus grave est celle relevant du trafic de stupéfiants, qui mérite, vu le nombre de sachets en cause et les autres critères de fixation de la peine, une peine privative de liberté de neuf mois. Une aggravation de deux mois (peine hypothétique : trois mois) se justifie de sorte qu’il convient de confirmer le jugement entrepris sur ce point également. Le sursis est acquis à l'appelant.</w:t>
      </w:r>
    </w:p>
    <w:p>
      <w:r>
        <w:rPr>
          <w:b/>
        </w:rPr>
        <w:t>E. 4</w:t>
      </w:r>
    </w:p>
    <w:p>
      <w:r>
        <w:t>L'appelant, qui succombe, supportera les frais de la procédure envers l'État, ceux-ci comprenant un émolument de CHF 1'500.- (art. 428 CPP ; 14 al.1 let. e du règlement fixant le tarif des frais et dépens en matière pénale [RTFMP]).</w:t>
      </w:r>
    </w:p>
    <w:p>
      <w:r>
        <w:t>- 12/15 - P/21829/2018 La mise à charge de l'appelant des frais de procédure de première instance sera confirmée (art. 426 CPP).</w:t>
      </w:r>
    </w:p>
    <w:p>
      <w:r>
        <w:rPr>
          <w:b/>
        </w:rPr>
        <w:t>E. 5</w:t>
      </w:r>
    </w:p>
    <w:p>
      <w:r>
        <w:t>Considéré globalement, l'état de frais produit par le défenseur d'office de A______, satisfait les exigences légales et jurisprudentielles régissant l'assistance judiciaire gratuite en matière pénale. Sa rémunération sera arrêtée à CHF 1'594.- pour 5 heures et vingt minutes d’activité (débats compris) + la majoration forfaitaire de 20% + les deux vacations aux débats d’appel (2 x CHF 100.-) + la TV au taux de 7.7%. * * * * *</w:t>
      </w:r>
    </w:p>
    <w:p>
      <w:r>
        <w:t>- 13/15 - P/21829/2018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