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AARP/397/2021 vom 8. Dezember 2021</w:t>
      </w:r>
    </w:p>
    <w:p>
      <w:r>
        <w:t>GE Cour de justice, 2021-12-08, FR</w:t>
      </w:r>
    </w:p>
    <w:p>
      <w:r>
        <w:rPr>
          <w:b/>
        </w:rPr>
        <w:t xml:space="preserve">Quelle: </w:t>
      </w:r>
      <w:r>
        <w:t>https://mcp.opencaselaw.ch/entscheid/ge_gerichte_AARP_397_2021</w:t>
      </w:r>
    </w:p>
    <w:p>
      <w:r>
        <w:t>FR: GE_GERICHTE AARP/397/2021 du 8 décembre 2021</w:t>
      </w:r>
    </w:p>
    <w:p>
      <w:r>
        <w:t>IT: GE_GERICHTE AARP/397/2021 del 8 dicembre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Convention européenne des droits de l'Homme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w:t>
      </w:r>
    </w:p>
    <w:p>
      <w:r>
        <w:t>- 7/15 - P/1438/2020 2.2.1. Commet un abus de confiance au sens de l'art. 138 ch. 1 al. 2 CP, celui qui, sans droit, aura employé à son profit ou au profit d'un tiers, des valeurs patrimoniales qui lui avaient été confiées. 2.2.2.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valeur pour en faire un certain usage dans l’intérêt d’autrui, soit la conserver, la gérer ou la remettre, selon un accord exprès ou tacite (ATF 133 IV 21, consid. 6.2 ; ATF 120 IV 276 consid. 2), qui fait apparaître qu’elle appartient économiquement à autrui, en ce sens que l’auteur n’en a pas la libre disposition (B. CORBOZ, Les infractions en droit suisse, 3ème éd., Berne 2010, vol. I., n. 19 ad art. 138). 2.2.3.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p. 259 ; 121 IV 23 consid. 1c p. 25 ; 119 IV 127 consid. 2 p. 128). 2.2.4. Bien que cet élément ne soit pas explicitement énoncé à l'art. 138 CP, la disposition exige que le comportement adopté par l'auteur cause un dommage, qui représente en l'occurrence un élément constitutif objectif non écrit (ATF 111 IV 19 consid. 5 p. 23 ; arrêt du Tribunal fédéral 6B_972/2018 du 20 novembre 2018 consid. 2.1). 2.2.5. Du point de vue subjectif, l'auteur doit avoir agi intentionnellement et dans un dessein d'enrichissement illégitime. Le dessein d'enrichissement illégitime fait notamment défaut si, au moment de l'emploi illicite de la valeur patrimoniale, l'auteur en paie la contre-valeur (ATF 107 V 166 consid. 2a p. 167), s'il avait à tout moment ou, le cas échéant, à la date convenue à cet effet, la volonté et la possibilité de la faire ("Ersatzbereitschaft"; ATF 118 IV 32 consid. 1a p. 34). Un dessein d'enrichissement illégitime temporaire suffit (arrêt du Tribunal fédéral 6B_382/2017 du 2 février 2018 consid. 4.3.1.)</w:t>
      </w:r>
    </w:p>
    <w:p>
      <w:r>
        <w:rPr>
          <w:b/>
        </w:rPr>
        <w:t>E. 2.3</w:t>
      </w:r>
    </w:p>
    <w:p>
      <w:r>
        <w:t>D’après l’art. 17 CP, quiconque commet un acte punissable pour préserver d’un danger imminent et impossible à détourner autrement un bien juridique lui</w:t>
      </w:r>
    </w:p>
    <w:p>
      <w:r>
        <w:t>- 8/15 - P/1438/2020 appartenant ou appartenant à un tiers agit de manière licite s’il sauvegarde ainsi des intérêts prépondérants. Celui qui est en mesure de s'adresser aux autorités pour parer au danger ne saurait se prévaloir de l'état de nécessité (ATF 125 IV 49 consid. 2 c p. 55 s. ; arrêts du Tribunal fédéral 6B_1056/2013 du 20 août 2014 consid. 5.1 et 6B_622/2008 du 13 janvier 2009 consid. 3.1). 2.4.1. En l’espèce, il est établi et non contesté que l’appelante s’est engagée, en qualité d’agent de voyage, à organiser les séjours à l’étranger des parties plaignantes, prestations qui comprenaient les billets d’avion, l’hébergement et, pour le voyage à M______, les transferts sur place. Elle a ainsi encaissé au total, sur ses comptes bancaires en Suisse et en France, CHF 12'770.-, EUR 4'330.- et EUR 2'000.-. 2.4.2. L’appelante a admis avoir utilisé une partie des sommes versées par C______, E______, F______, G______, H______ et I______ pour subvenir à ses besoins ainsi qu’à ceux de ses enfants, combler son découvert bancaire ou acheter du matériel à son mari. 2.4.3. S’agissant du voyage à N______, elle persiste à se prévaloir du fait qu’elle aurait utilisé le montant d’EUR 2'000.- versé à titre d’acompte pour acquérir les billets d’avion des époux D______/Q______. Il convient de relever dans un premier temps que les explications de l’appelante pour justifier son refus de fournir les billets d’avion à la partie plaignante apparaissent douteuses. Elle n’a en effet ni informé ses clients du « package » dont elle se prévaut, ni soutenu que le solde du prix du voyage lui aurait été réclamé par une structure externe qui aurait combiné la réservation de l’hébergement et des vols en un forfait, ce qui ne coïnciderait d’ailleurs pas avec le paiement indépendant des billets effectué in casu. Cela étant, au regard des éléments du dossier, il est établi que l’acompte d’EUR 2'000.- versé par la partie plaignante n’a pas été utilisé dans sa totalité pour l’achat des billets d’avion. La facture produite par l’appelante ne lui vient pas en aide. Tout au plus permet-elle en effet de retenir, selon la version qui lui est la plus favorable, qu’elle s’est acquittée à ce titre d’un montant d’EUR 1'611.50, frais d’émission de CHF 40.- compris. Cette conclusion est corroborée par les propres déclarations de l’appelante, laquelle a affirmé qu’il n’était pas prévu qu’elle retire un quelconque bénéfice de l’organisation de ce voyage et a finalement admis, lors des débats d’appel, qu’il demeurait effectivement un solde en faveur des époux D______/Q______ après règlement des billets.</w:t>
      </w:r>
    </w:p>
    <w:p>
      <w:r>
        <w:t>- 9/15 - P/1438/2020 Compte tenu de l’ensemble du dossier, il existe un faisceau d’indices convergents suffisant pour retenir que partie de cet acompte a, à l’instar de l’argent versé pour les autres voyages, servi à couvrir les dépenses personnelles de l’appelante, ce dont elle avait conscience. Elle savait en outre pertinemment, vu la précarité de sa situation financière, qu’elle ne serait pas en mesure de restituer à la partie plaignante la somme indument perçue en tout temps ou au plus tard à la date du voyage, étant relevé que la facture pour frais de logement et d'organisation du voyage sur place dépassait EUR 2'400.-, ce que le solde encore dû par les époux D______/Q______ ne permettait pas de couvrir. 2.4.4. L’appelante ne saurait être suivie lorsqu’elle invoque l’état de nécessité licite pour justifier son comportement et solliciter son acquittement. Elle ne démontre pas en quoi l’utilisation à des fins privées de l’argent versé par les parties plaignantes, soit pour assurer son entretien et celui de ses enfants après leur départ du domicile conjugal, acheter du matériel pour l’élevage de porcs de son ex- mari et combler le déficit de son compte bancaire, lui aurait concrètement permis de sauvegarder son intégrité physique et celle de ses enfants, ce d’autant que certaines sommes ont été versées bien après son départ du domicile conjugal. L’appelante bénéficiait en outre de la possibilité de s’adresser à diverses autorités et organismes afin, d’une part, d’être éloignée avec ses enfants de son ex-mari et, d’autre part, d’être soutenue financièrement dans ce processus. En outre, sa famille proche, dont ses parents, habitent la même région. 2.4.5. A teneur de ce qui précède, la culpabilité de l’appelante du chef d’abus de confiance sera confirmée pour tous les faits reprochés et son appel sera, partant, rejeté sur ce point.</w:t>
      </w:r>
    </w:p>
    <w:p>
      <w:r>
        <w:rPr>
          <w:b/>
        </w:rPr>
        <w:t>E. 3.1</w:t>
      </w:r>
    </w:p>
    <w:p>
      <w:r>
        <w:t>L’infraction d’abus de confiance (art. 138 ch. 1 al. 2 CP) est réprimée par une peine privative de liberté de cinq ans au plus ou 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- 10/15 - P/1438/2020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Le juge suspend en règle générale l’exécution d’une peine pécuniaire ou d’une peine privative de liberté de deux ans au plus lorsqu’une peine ferme ne paraît pas nécessaire pour détourner l’auteur d’autres crimes ou délits (art. 42 al. 1 CP). 3.5.1. La faute de l’appelante est de gravité moyenne. Même dans une situation familiale difficile, elle n’a pas hésité à porter atteinte, à plusieurs reprises sur une période pénale relativement courte d’une dizaine de mois, au patrimoine des clients qui avaient fait appel à elle pour organiser leurs voyages en toute confiance, à hauteur de plusieurs milliers de francs et euros au total. Elle les a laissés partir à l’étranger tout en sachant pertinemment qu’ils ne disposeraient pas de logement une fois sur place et cela sans les avertir. Au chapitre de la collaboration, il sied de retenir que l'appelante pouvait difficilement nier les faits compte tenu des témoignages des parties plaignantes et des pièces versées au dossier par elles et s’est montrée inconstante dans certaines de ses déclarations, soit notamment sur l’usage de l’argent détourné. La honte et les remords qu’elle affirme avoir éprouvés ne l’ont pas empêchée de récidiver à plusieurs reprises. Durant toute la procédure et encore au stade des débats d’appel, elle n’a eu de cesse de minimiser sa responsabilité en se retranchant derrière sa situation personnelle, laquelle ne justifie pas ses actes, étant relevé qu’elle aurait pu décider d’agir autrement. Elle a affirmé avoir le souhait de rembourser les parties plaignantes, ce qui peut laisser entrevoir un début de prise de conscience, tout en ne déclarant toutefois pas les montants dus à ce titre dans son dossier de surendettement et en n’entreprenant pas de démarches concrètes en ce sens. En cela, sa prise de conscience de ses actes n’est qu’à ses débuts. L’absence d’antécédents a un effet neutre sur la peine. 3.5.2. Le prononcé d’une peine pécuniaire, au demeurant a priori suffisant pour détourner l’appelante de commettre de nouvelles infractions, est acquis à cette dernière.</w:t>
      </w:r>
    </w:p>
    <w:p>
      <w:r>
        <w:t>- 11/15 - P/1438/2020 Au vu de ce qui précède, la quotité de 60 jours-amende sanctionne adéquatement la faute de l’appelante. Sa situation financière précaire, qui paraît néanmoins s’améliorer, commande de fixer le quantum du jour-amende à CHF 30.-. L’octroi du sursis est acquis à l'appelante. Le délai d'épreuve de trois ans, adéquat et proportionné, sera confirmé (art. 44 CP). 3.5.3. L’appel sera, partant, rejeté sur la peine également et le jugement entrepris confirmé à cet égard.</w:t>
      </w:r>
    </w:p>
    <w:p>
      <w:r>
        <w:rPr>
          <w:b/>
        </w:rPr>
        <w:t>E. 4</w:t>
      </w:r>
    </w:p>
    <w:p>
      <w:r>
        <w:t>L’appel ne portant pas sur les conclusions civiles et dans la mesure où C______ n’a lui-même ni formé appel, ni appel joint sur ce point, son courrier daté du 27 octobre 2021 ayant été adressé à la Chambre pénale d’appel et de révision (CPAR) bien après l’échéance du délai visé à l’art. 399 al. 3 CPP, applicable par renvoi de l’art. 401 al. 1 CPP, sa conclusion tendant au remboursement de la somme d’EUR 3'696.- n’est pas recevable. Son renvoi à agir au civil, à l’instar des autres parties plaignantes, sera ainsi confirmé.</w:t>
      </w:r>
    </w:p>
    <w:p>
      <w:r>
        <w:rPr>
          <w:b/>
        </w:rPr>
        <w:t>E. 5</w:t>
      </w:r>
    </w:p>
    <w:p>
      <w:r>
        <w:t>L'appelante, qui succombe, supportera les frais de la procédure envers l'État, y compris un émolument de jugement de CHF 1'500.- (art. 428 CPP). Les frais de la procédure préliminaire et de première instance et l’émolument de jugement complémentaire de CHF 600.- prononcé par le TP demeureront à sa charge (art. 426 CPP).</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- 12/15 - P/1438/2020</w:t>
      </w:r>
    </w:p>
    <w:p>
      <w:r>
        <w:rPr>
          <w:b/>
        </w:rPr>
        <w:t>E. 6.2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sont indemnisés à travers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les collaborateurs, dite rémunération étant allouée d'office par la juridiction d'appel pour les débats devant elle.</w:t>
      </w:r>
    </w:p>
    <w:p>
      <w:r>
        <w:rPr>
          <w:b/>
        </w:rPr>
        <w:t>E. 6.4</w:t>
      </w:r>
    </w:p>
    <w:p>
      <w:r>
        <w:t>En l'occurrence, l’état de frais de Me B______ est excessif compte tenu de la nature et de la complexité de la cause, qui n'appellent pas de recherches juridiques poussées, dans un dossier censé par ailleurs être maîtrisé pour avoir été plaidé en première instance six mois plus tôt. Le temps consacré à l’analyse du dossier sera ainsi ramené à une heure et 30 minutes, de même que celui qui a été dévolu à la préparation de l’audience et à la plaidoirie, étant relevé que ni l’affaire, ni les débats ne présentaient de difficulté particulière. La lecture du jugement entrepris (15 minutes) et la rédaction de la déclaration d’appel, activités comprises dans le forfait, ne doivent pas faire l’objet d’une indemnisation autonome.</w:t>
      </w:r>
    </w:p>
    <w:p>
      <w:r>
        <w:t>En conclusion, la rémunération sera arrêtée à CHF 1'179.30 correspondant à cinq heures et 40 minutes d'activité au tarif de CHF 150.-/heure (CHF 850.-) plus la majoration forfaitaire de 20% (CHF 170.-), le déplacement à l'audience d'appel (CHF 75.-) et l'équivalent de la TVA au taux de 7.7% en CHF 84.30. * * * * *</w:t>
      </w:r>
    </w:p>
    <w:p>
      <w:r>
        <w:t>- 13/15 - P/1438/2020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