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AARP/396/2018 vom 5. November 2018</w:t>
      </w:r>
    </w:p>
    <w:p>
      <w:r>
        <w:t>GE Cour de justice, 2018-11-05, FR</w:t>
      </w:r>
    </w:p>
    <w:p>
      <w:r>
        <w:rPr>
          <w:b/>
        </w:rPr>
        <w:t xml:space="preserve">Quelle: </w:t>
      </w:r>
      <w:r>
        <w:t>https://mcp.opencaselaw.ch/entscheid/ge_gerichte_AARP_396_2018</w:t>
      </w:r>
    </w:p>
    <w:p>
      <w:r>
        <w:t>FR: GE_GERICHTE AARP/396/2018 du 5 novembre 2018</w:t>
      </w:r>
    </w:p>
    <w:p>
      <w:r>
        <w:t>IT: GE_GERICHTE AARP/396/2018 del 5 novembre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 présomption d'innocence, garantie par les art. 14 § 2 du Pacte international relatif aux droits civils et politiques du 16 décembre 1966 (Pacte II ; RS 0.103.2), 6 ch. 2 de la Convention de sauvegarde des droits de l'homme et des libertés fondamentales du 4 novembre 1950 (CEDH ; RS 0.101), 32 al. 1 de la Constitution fédérale de la Confédération suisse du 18 avril 1999 (Cst. ; RS 101) et 10 al. 3 CPP, ainsi que son corollaire, le principe in dubio pro reo, concernent tant le fardeau de la preuve que l'appréciation des preuves (arrêt du Tribunal fédéral 6B_998/2017 du 20 avril 2018 consid. 5.1).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arrêts du Tribunal fédéral 6B_634/2018 du 22 août 2018 consid. 2.1 ; 6B_804/2017 du 23 mai 2018 consid. 2.2.3.3 destiné à la publication ; 6B_1306/2017 du 17 mai 2018 consid. 2.1.1).</w:t>
      </w:r>
    </w:p>
    <w:p>
      <w:r>
        <w:t>- 6/12 - P/17190/2015 Ces principes s'appliquent notamment en matière d'infractions aux règles de la circulation routière. La présomption selon laquelle un véhicule automobile est conduit par son détenteur ne constitue, au contraire de la présomption d'innocence, qu'une présomption de fait ou présomption de l'homme. Elle ne renverse ni n'allège le fardeau de la preuve, qui repose entièrement sur l'accusation (arrêt du Tribunal fédéral 6B_748/2009 du 2 novembre 2009 consid. 2.2.). 2.1.2. L'autorité de jugement dispose d'un large pouvoir dans l'appréciation des preuves, en application duquel, selon l'art. 10 al. 2 CPP, le juge donne aux moyens de preuve produits tout au long de la procédure la valeur qu'il estime devoir leur attacher pour se forger une intime conviction sur la réalité d'un fait (ATF 120 Ia 31 consid. 4b p. 40 ; arrêt du Tribunal fédéral 6B_348/2012 du 24 octobre 2012 consid. 1.3). 2.2.1. À teneur de l'art. 90 al. 2 LCR, est considérée comme grave et sanctionnée par une peine privative de liberté de trois ans au plus ou une peine pécuniaire, la violation grossière d'une règle fondamentale, qui crée un sérieux danger pour la vie d'autrui, même de manière abstraite.</w:t>
      </w:r>
    </w:p>
    <w:p>
      <w:r>
        <w:t>Dans le domaine des excès de vitesse, la jurisprudence a été amenée à fixer des règles précises afin d'assurer l'égalité de traitement. Ainsi, le cas est objectivement grave, sans égard aux circonstances concrètes, en cas de dépassement de la vitesse autorisée de 25 km/h ou plus à l'intérieur des localités (ATF 143 IV 508 consid. 1.3 p. 512).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à décharge dont l'existence a été régulièrement niée (arrêts du Tribunal fédéral 6B_1011/2013 du 13 mars 2014 consid. 2.1 ; 6B_571/2012 du 8 avril 2013 consid. 3.4).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ou lorsque, contrairement à ses devoirs, il ne prend absolument pas en compte le fait qu'il met en danger les autres usagers, en d'autres termes s'il se rend coupable d'une négligence inconsciente (ATF 131 IV 133 consid. 3.2 p. 136 ; arrêts du Tribunal fédéral 6B_672/2018 du 20 septembre 2018 consid. 1.1 ; 6B_444/2016 du 3 avril 2017 consid. 1.1). Dans de tels cas, une négligence grossière ne peut être admise que si l'absence de prise de conscience du danger créé pour autrui repose elle-même sur une absence de scrupules (ATF 131 IV 133 consid. 3.2 p. 136; arrêt du Tribunal fédéral 6B_1300/2016 du 5 décembre 2017 consid. 2.1.2 non publié aux ATF 143 IV 500). Plus la violation de la règle de la circulation est objectivement grave, plus on admettra l'existence d'une absence de</w:t>
      </w:r>
    </w:p>
    <w:p>
      <w:r>
        <w:t>- 7/12 - P/17190/2015 scrupule, sauf indice particulier permettant de retenir le contraire (ATF 142 IV 93 consid. 3.1 p. 96). Il y a négligence inconsciente lorsque le conducteur est inattentif, apprécie mal une situation ou évalue mal les conséquences de son comportement. Pour déterminer concrètement si la négligence de l'auteur revêt une absence de prise de conscience du danger pour l'intégrité des tiers particulièrement blâmable, il faut que l'auteur viole un devoir de prudence élémentaire qui s'imposait à lui de manière évidente, dans les circonstances du cas d'espèce. Le mobile de l'auteur peut aussi apporter un élément pertinent dans l'évaluation de la gravité de la faute commise (Y. JEANNERET, Les dispositions pénales de la loi sur la circulation routière (LCR), Berne 2007, n. 40 et 43 ad art. 90). 2.2.2. Selon l'art. 8 al. 1 let. a ch. 1 de l'ordonnance de l'OFROU concernant l'ordonnance sur le contrôle de la circulation routière du 22 mai 2008 (OOCCR- OFROU) (dans sa teneur – restée identique – à l'époque des faits), les valeurs suivantes doivent être déduites de la vitesse mesurée, après que cette dernière a été arrondie au chiffre entier le plus proche, en cas de mesures par radar : 5 km/h pour une valeur mesurée inférieure ou égale à 100 km/h. 2.3.1. L'appelant n'apporte aucun élément apte à étayer l'allégation soutenue durant la procédure. A cet égard, il n'a pas été en mesure de préciser les dates du séjour de son cousin à Genève, tout en se souvenant que celui-ci conduisait son véhicule la nuit des faits. Il n'a pas non plus été capable de spécifier la date de décès de ce cousin tant devant la police que le tribunal de première instance, ajoutant devant la CPAR que l'ensevelissement était opportunément intervenu le jour de son audition à la police. L'argument de l'absence de contact avec sa famille au D______ pour justifier le déficit d'informations ne convainc pas et apparait, tout comme le décès du cousin en cours de procédure, fort propice. L'appelant prétend n'avoir pas exercé sa profession accessoire de chauffeur de nuit entre août 2014 et septembre 2015, si bien qu'il ne pouvait avoir commis l'excès de vitesse en question. Force est toutefois de constater qu'il a déclaré à la CPAR avoir senti les effets du décalage provoqué par le travail de nuit lors de son audition à la police en août 2015. En outre, l'interdiction prononcée par le TMC concernait uniquement l'exercice de son activité professionnelle et non pas des trajets qu'il aurait pu effectuer à titre personnel. Il est de surcroît tout à fait concevable de commettre un dépassement de vitesse tout en connaissant l'emplacement des radars fixes. Il sied enfin de relever que l'appelant a déjà menti par le passé en soutenant ne pas être l'auteur d'infractions aux règles de la circulation routière, raison pour laquelle il a notamment été condamné pour faux dans les titres et dénonciation calomnieuse pour avoir désigné son frère comme conducteur alors qu'il a fini par admettre les faits dans le second cas, ces éléments constituant des indices quant à son comportement potentiel. L'appelant s'est en l'espèce bien gardé de remplir le formulaire de reconnaissance d'infraction. Par la suite, il a dans un premier temps refusé de divulguer l'identité de l'auteur de l'excès de vitesse, décédé entretemps fort à propos,</w:t>
      </w:r>
    </w:p>
    <w:p>
      <w:r>
        <w:t>- 8/12 - P/17190/2015 tout en s'empêtrant dans des contradictions en prétendant notamment avoir déjà communiqué les informations relatives à l'identité de l'auteur mais en soulignant en même temps ne pas devoir en fournir en raison du lien familial qui existerait entre eux. Au vu de ce qui précède et étant donné que l'appelant est le détenteur du véhicule en cause, sa simple allégation non étayée consistant à prétendre qu'il n'est pas l'auteur du dépassement de vitesse reproché apparait comme circonstancielle. Son comportement visant à contester la régularité de la mesure de vitesse et ses affirmations contradictoires et dilatoires en disent long sur sa volonté d'échapper à toute sanction et rappellent son mode opératoire dans le passé. Il sera partant retenu que l'appelant circulait au volant de son véhicule au moment des faits. 2.3.2. Il est établi et non contesté qu'un excès de vitesse de 28 km/h, marge de sécurité déduite, a été commis sur un tronçon où la vitesse maximale autorisée était limitée à 50 km/h. A juste titre, l'appelant ne met plus en question l'opérabilité du radar dûment vérifié, ni le fait que la marge de sécurité est de 5 km/h et non de 6 km/h. Le dépassement de vitesse de 28 km/h, marge de sécurité déduite, constitue objectivement une violation grave des règles de la circulation routière, aucune circonstance exceptionnelle n'étant en l'espèce réalisée ni d'ailleurs plaidée, peu important les conditions routières aussi bien que météorologiques étaient bonnes. Toutefois, en circulant à une telle vitesse en pleine ville alors que la visibilité était réduite en raison de l'heure, l'appelant n'a, à tout le moins, pas pris en compte le danger qu'il créait pour les autres usagers de la route et a donc agi sans scrupules. Par conséquent, l'appelant est reconnu coupable d'infraction à l'art. 90 al. 2 LCR, le jugement entrepris confirmé et l'appel rejeté.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- 9/12 - P/17190/2015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w:t>
      </w:r>
    </w:p>
    <w:p>
      <w:r>
        <w:rPr>
          <w:b/>
        </w:rPr>
        <w:t>E. 3.2</w:t>
      </w:r>
    </w:p>
    <w:p>
      <w:r>
        <w:t>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Code pénal, Petit Commentaire, Bâle 2017, n. 6 des rem. prél. ad art. 34 à 41), ce qui est le cas en l'espèce.</w:t>
      </w:r>
    </w:p>
    <w:p>
      <w:r>
        <w:rPr>
          <w:b/>
        </w:rPr>
        <w:t>E. 3.3</w:t>
      </w:r>
    </w:p>
    <w:p>
      <w:r>
        <w:t>A teneur de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3.5</w:t>
      </w:r>
    </w:p>
    <w:p>
      <w:r>
        <w:t>La faute de l'appelant est d'une certaine gravité. En adoptant une vitesse excessive, il a créé un sérieux danger pour les autres usagers de la route. Sa collaboration à la procédure et sa prise de conscience sont inexistantes, l'appelant s'étant obstiné à nier être l'auteur de l'infraction que sa situation, certes difficile, ne saurait justifier. Ses antécédents sont nombreux et spécifiques. Les diverses condamnations pour violations des règles de la circulation routière ne l'ont pas dissuadé de récidiver. Un pronostic défavorable doit ainsi être posé. Vu ce qui précède, la peine pécuniaire retenue en première instance et non critiquée en tant que telle paraît clémente mais consacre une application plutôt favorable à l'appelant des critères fixés à l'art. 47 CP et sera confirmée en tant qu'elle n'a pas fait l'objet d'un appel du Ministère public.</w:t>
      </w:r>
    </w:p>
    <w:p>
      <w:r>
        <w:t>- 10/12 - P/17190/2015</w:t>
      </w:r>
    </w:p>
    <w:p>
      <w:r>
        <w:rPr>
          <w:b/>
        </w:rPr>
        <w:t>E. 4</w:t>
      </w:r>
    </w:p>
    <w:p>
      <w:r>
        <w:t>L'appelant, qui succombe, supportera les frais de la procédure d'appel, qui comprennent un émolument de jugement de CHF 1'500.- (art. 428 al. 1 CPP et art. 14 al. 1 let. e du règlement fixant le tarif des frais en matière pénale du 22 décembre 2010 [RTFMP ; RS/GE E 4 10.03]).</w:t>
      </w:r>
    </w:p>
    <w:p>
      <w:r>
        <w:rPr>
          <w:b/>
        </w:rPr>
        <w:t>E. 5</w:t>
      </w:r>
    </w:p>
    <w:p>
      <w:r>
        <w:t>Vu l'issue de la procédure d'appel, les conclusions en indemnisation de l'appelant seront rejetées (art. 429 CPP). * * * * *</w:t>
      </w:r>
    </w:p>
    <w:p>
      <w:r>
        <w:t>- 11/12 - P/17190/2015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