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AARP/395/2018 vom 3. Dezember 2018</w:t>
      </w:r>
    </w:p>
    <w:p>
      <w:r>
        <w:t>GE Cour de justice, 2018-12-03, FR</w:t>
      </w:r>
    </w:p>
    <w:p>
      <w:r>
        <w:rPr>
          <w:b/>
        </w:rPr>
        <w:t xml:space="preserve">Quelle: </w:t>
      </w:r>
      <w:r>
        <w:t>https://mcp.opencaselaw.ch/entscheid/ge_gerichte_AARP_395_2018</w:t>
      </w:r>
    </w:p>
    <w:p>
      <w:r>
        <w:t>FR: GE_GERICHTE AARP/395/2018 du 3 décembre 2018</w:t>
      </w:r>
    </w:p>
    <w:p>
      <w:r>
        <w:t>IT: GE_GERICHTE AARP/395/2018 del 3 dicembre 2018</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2.1</w:t>
      </w:r>
    </w:p>
    <w:p>
      <w:r>
        <w:t>Selon l'art. 1 al. 2 LCR, les conducteurs de véhicules automobiles et les cyclistes sont soumis aux règles de la circulation sur toutes les routes servant à la circulation publique. La LCR doit donc être observée par tous les usagers, y compris par les étrangers, qui ne sont pas excusables de ne pas les connaître (ATF 87 II 301, JdT 1962, I 398 n°9).</w:t>
      </w:r>
    </w:p>
    <w:p>
      <w:r>
        <w:rPr>
          <w:b/>
        </w:rPr>
        <w:t>E. 2.2</w:t>
      </w:r>
    </w:p>
    <w:p>
      <w:r>
        <w:t>Selon l'art. 32 al. 2 LCR, le Conseil fédéral limitera la vitesse des véhicules automobiles sur toutes les routes. Dite autorité a ainsi fixé la vitesse maximale générale des véhicules à 50 km/h dans les localités et à 80 km/h hors des localités (à l'exception des semi-autoroutes et des autoroutes) (art. 4a al. 1 let. a de l'Ordonnance sur les règles de la circulation routière du 13 novembre 1962 [OCR – RS 741.11]). 2.3.1. Les limitations et prescriptions relatives à la circulation des véhicules automobiles et des cycles doivent être indiquées par des signaux ou des marques, lorsqu'elles ne s'appliquent pas à l'ensemble du territoire suisse (art. 5 al. 1 LCR). 2.3.2. D'après l'art. 103 al. 1 phr. 2 de l'Ordonnance sur la signalisation routière du</w:t>
      </w:r>
    </w:p>
    <w:p>
      <w:r>
        <w:rPr>
          <w:b/>
        </w:rPr>
        <w:t>E. 2.4</w:t>
      </w:r>
    </w:p>
    <w:p>
      <w:r>
        <w:t>La limitation de vitesse des véhicules en localité commence au signal «Vitesse maximale 50, Limite générale» (2.30.1) et se termine au signal «Fin de la vitesse maximale 50, Limite générale» (2.53.1) (art. 4a al. 2 OCR).</w:t>
      </w:r>
    </w:p>
    <w:p>
      <w:r>
        <w:rPr>
          <w:b/>
        </w:rPr>
        <w:t>E. 2.5</w:t>
      </w:r>
    </w:p>
    <w:p>
      <w:r>
        <w:t>Le revers du panneau de localité constitue le signal «Fin de localité sur route principale» ou «Fin de localité sur route secondaire» ; il porte, dans l'espace supérieur, le nom de la prochaine agglomération et, dans l'espace inférieur, celui du centre de destination le plus proche ainsi que son éloignement. Si une bifurcation se présente après le panneau, deux centres de destination peuvent être indiqués (art. 50 al. 3 OSR).</w:t>
      </w:r>
    </w:p>
    <w:p>
      <w:r>
        <w:rPr>
          <w:b/>
        </w:rPr>
        <w:t>E. 2.6</w:t>
      </w:r>
    </w:p>
    <w:p>
      <w:r>
        <w:t>Conformément à l'art. 90 LCR, celui qui viole les règles de la circulation prévues par ladite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w:t>
      </w:r>
    </w:p>
    <w:p>
      <w:r>
        <w:t>- 7/15 - P/21962/2017 Pour déterminer si une violation d'une règle de la circulation doit être qualifiée de grave au sens de l'art. 90 al. 2 LCR, il faut procéder à une appréciation aussi bien objective que subjective (cf. arrêt du Tribunal fédéral 6B_444/2016 du 3 avril 2017). Subjectivement, l'état de fait de l'art. 90 al. 2 LCR exige, selon la jurisprudence, un comportement sans scrupules ou gravement contraire aux règles de la circulation, c'est-à-dire une faute grave et, en cas d'acte commis par négligence, à tout le moins une négligence grossière. En principe, il y a lieu de retenir une négligence grossière lorsque la violation des règles de la circulation routière est objectivement grave. L'absence de scrupules sera exceptionnellement niée lorsque les circonstances particulières du cas d'espèce font apparaître le comportement de l'auteur sous un jour plus favorable (arrêt du Tribunal fédéral 6B_665/2015 du 15 septembre 2016 consid. 2.1.2 et les références). Plus la violation de la règle de la circulation apparaît objectivement grave, plus facilement sera admis l'existence d'une absence de scrupule, sauf indice particulier permettant de retenir le contraire. L'acceptation de l'absence de scrupules ne peut cependant pas être déduite de toute inattention (cf. ATF 142 IV 93 consid. 3.1 p. 96 et les références ; ATF 143 IV 500 consid. 2 ; arrêt du Tribunal fédéral 6B_23/2016 du 9 décembre 2016 consid. 3.2). Dans le domaine des excès de vitesse, la jurisprudence a été amenée à fixer des règles précises afin d'assurer l'égalité de traitement. Ainsi, le cas est objectivement grave au sens de l'art. 90 al. 2 LCR,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3.1 p. 237 s. ; 124 II 259 consid. 2b p. 261 ss, 123 II 106 consid. 2c p. 113 et les références citées). Le conducteur qui dépasse de manière aussi caractérisée la vitesse autorisée agit intentionnellement ou à tout le moins par négligence grossière. Il existe un lien étroit entre la violation objectivement grave et l'absence de scrupule sous l'angle subjectif, sous réserve d'indices contraires spécifiques. Le Tribunal fédéral a régulièrement nié l'existence de telles circonstances à décharge (arrêts du Tribunal fédéral 6B_1011/2013 du 13 mars 2014 consid. 2.1 ; 6B_571/2012 du 8 avril 2013 consid. 3.4).</w:t>
      </w:r>
    </w:p>
    <w:p>
      <w:r>
        <w:t>2.7.1. 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w:t>
      </w:r>
    </w:p>
    <w:p>
      <w:r>
        <w:t>Il y a erreur sur les faits, selon l'art. 13 CP, lorsque l'infraction est commise dans l'ignorance ou sous l'influence d'une appréciation incorrecte de l'un de ses éléments constitutifs. L'erreur de l'auteur peut porter sur un élément factuel ou juridique (ATF 129 IV 238 consid. 3.1 p. 240 ; arrêt du Tribunal fédéral 6B_63/2017 du 17 novembre 2017 consid. 3.2).</w:t>
      </w:r>
    </w:p>
    <w:p>
      <w:r>
        <w:t>- 8/15 - P/21962/2017 L'erreur ne peut conduire à un acquittement que si elle est excusable (M. DUPUIS / B. GELLER / G. MONNIER / L. MOREILLON / C. PIGUET / C. BETTEX / D. STOLL [éds], Code pénal - Petit commentaire, Bâle 2012, nos 18-19 ad art. 13). Si elle est évitable et que l'auteur n'use pas des précautions voulues pour l'éviter, il est punissable par négligence. Tout comme les infractions punissables par négligence, il convient de prendre en compte les circonstances et la situation personnelle de l'auteur (ATF 119 IV 255 consid. 2c p. 259). 2.7.2. Aux termes de l'art. 21 CP, quiconque ne sait ni ne peut savoir au moment d'agir que son comportement est illicite n'agit pas de manière coupable. Le juge atténue la peine si l'erreur était évitable. L'auteur doit agir alors qu'il se croyait en droit de le faire. Il pense, à tort, que l'acte concret qu'il commet est conforme au droit (ATF 141 IV 336 consid. 2.4.3 p. 343 et les références ; ATF 138 IV 13 consid. 8.2 p. 27). Si la licéité du comportement considéré est sujette à caution, l'auteur est tenu de s'informer auprès des autorités compétentes (ATF 129 IV 6 consid. 4.1 et les références ; arrêt du Tribunal fédéral 6B_494/2016 du 17 mai 2017 consid. 1.1). Déterminer ce que l'auteur d'une infraction a su, cru ou voulu et, en particulier, l'existence d'une erreur relève de l'établissement des faits (ATF 141 IV 336 consid. 2.4.3 p. 343 ; arrêt du Tribunal fédéral 6B_1369/2016 du 20 juillet 2017 consid. 5.1). La réglementation relative à l'erreur sur l'illicéité repose sur l'idée que le justiciable doit faire tout son possible pour connaître la loi et que son ignorance ne le protège que dans des cas exceptionnels (arrêt du Tribunal fédéral 6B_526/2014 du 2 février 2015). 2.8.1. En l'espèce, il est établi et non contesté que l'appelant a commis un excès de vitesse de 33 km/h, sur un tronçon situé à l'intérieur d'une localité, où la vitesse est limitée à 50 km/h. Ce dépassement est supérieur au seuil de 25 km/h fixé par la jurisprudence pour les routes à l'intérieur des localités, de sorte, qu'il doit être qualifié d'objectivement grave. 2.8.2. L'appelant, qui habite en France voisine, circule tous les jours en Suisse, depuis 2007, au guidon de son motocycle ou au volant de sa voiture. Il s'agit donc d'un utilisateur fréquent du réseau routier suisse. De ce fait, il peut en être déduit une connaissance certaine des prescriptions helvétiques en matière de circulation routière. Le choix des itinéraires est sans incidence à cet égard, étant relevé que l'appelant a précisé ne pas emprunter "souvent" ce trajet, ce qui suppose qu'il le connaissait. Quant aux questionnaires versés à la procédure (pièce 9), tout au plus pourraient-ils révéler l'ignorance de la signalétique routière des personnes qui les ont remplis, mais, ils ne sauraient en aucun cas dispenser l'appelant de son obligation de connaître la loi. Eusse-t-il ignoré la législation suisse, il lui incombait de se renseigner dès lors qu'il ne pouvait sans autre partir de l'idée qu'elle était identique à</w:t>
      </w:r>
    </w:p>
    <w:p>
      <w:r>
        <w:t>- 9/15 - P/21962/2017 celle de la France, d'autant plus qu'il était appelé à rouler souvent en Suisse et n'était pas de passage. D'autre part, il convient de relever que contrairement aux allégations de l'appelant, les photographies auxquelles il se réfère ne montrent nullement des champs de chaque côté, de sorte qu'il n'était pas légitimé à considérer être "hors localité". Mais au contraire, sur le début de la droite dans son sens de marche, se trouve un bâtiment suivi d'un muret sur à tout le moins plus d'une dizaine de mètres et à peu de distance un panneau "distributeur - jus de pomme" à hauteur duquel l'infraction a été constatée. De surcroît, en prétendant qu'en circulant sur un tronçon circondé de champs il ne pouvait comprendre qu'il se trouvait encore en localité, l'appelant fait fi des signaux routiers, ce qui n'est pas acceptable. Le fait de se retrouver en dehors d'une zone urbaine sans que la signalétique n'ait annoncé la fin de la localité constitue tout au plus un indice que cette dernière peut intervenir sous peu, mais comme le relève le Tribunal de police, que ce soit en France ou en Suisse, la sortie d'une localité est liée à la pose d'un panneau spécifique. Dès lors, la Cour ne peut suivre l'argument de l'appelant lorsqu'il déclare qu'il ignorait que la limitation de vitesse en localité en Suisse restait en vigueur tant qu'il n'y avait pas un panneau qui venait l'annuler. L'appelant allègue que la frondaison des arbres ne permettait d'apercevoir la signalisation de fin de limitation de vitesse que tardivement sur la base des photos 14 et 17. C'est à juste titre que le tribunal de première instance a retenu que ces photos n'étaient pas représentatives des faits qui se sont produits. En effet, non seulement le témoin a expliqué que lorsque l'opérateur pose le radar, des contrôles sont faits pour veiller à ce que la signalisation soit claire et précise, mais encore, et comme il a été fait mention dans le jugement du 5 juin 2018, ces photos ont été prises plus de deux mois après les faits et depuis un angle qui diffère de celui du motocycliste qui circule sur la voie de droite. Finalement, il sied de rappeler que les panneaux de "Fin de limitation 50" et de "Fin de localité", conformes aux prescriptions légales, se trouvaient 100 mètres en aval du radar. Il n'existe donc pas de lien de cause à effet entre l'excès de vitesse et la visibilité des panneaux. En conclusion, l'appelant ne peut valablement se prévaloir de l'erreur sur les faits et sur l'illicéité, dans la mesure où il n'est aucunement vraisemblable qu'il eut ignoré les conditions de lieu et le fait de se trouver encore en localité, tout comme une erreur de droit peut être exclue du fait de l'ancienneté de sa conduite sur sol suisse. Partant, le verdict de culpabilité rendu à l'encontre de l'appelant, du chef de violation grave des règles de la circulation routière au sens de l'art. 90 al. 2 LCR, ne peut être que confirmé. 3. 3.1. Cette infraction est sanctionnée d'une peine privative de liberté de trois ans au plus ou d'une peine pécuniaire.</w:t>
      </w:r>
    </w:p>
    <w:p>
      <w:r>
        <w:t>- 10/15 - P/21962/2017</w:t>
      </w:r>
    </w:p>
    <w:p>
      <w:r>
        <w:t>3.2. Les nouvelles dispositions sur le droit des sanctions sont entrées en vigueur le 1er janvier 2018. Cette réforme marque globalement un durcissement. A l'aune de l'art. 2 CP, la personne condamnée pourra ainsi revendiquer l'application du droit en vigueur au 31 décembre 2017 si les actes qu'il a commis l'ont été sous l'empire de ce droit, comme c'est le cas en espèce. L'ancien droit est donc applicable. 3.3.1.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w:t>
      </w:r>
    </w:p>
    <w:p>
      <w:r>
        <w:rPr>
          <w:b/>
        </w:rPr>
        <w:t>E. 5</w:t>
      </w:r>
    </w:p>
    <w:p>
      <w:r>
        <w:t>septembre 1979 [OSR – RS 741.21], les signaux indiquant la fin d'une prescription sur des routes secondaires peuvent être placés uniquement à gauche, au revers du signal opposé.</w:t>
      </w:r>
    </w:p>
    <w:p>
      <w:r>
        <w:rPr>
          <w:b/>
        </w:rPr>
        <w:t>E. 5.1</w:t>
      </w:r>
    </w:p>
    <w:p>
      <w:r>
        <w:t>En vertu de l'art. 436 al. 2 CPP, lorsque ni un acquittement total ou partiel ni un classement ne sont prononcés, le prévenu peut prétendre à une juste indemnité dans la procédure de recours (Rechtsmittelverfahren) s'il obtient gain de cause "sur d'autres points", à savoir les points accessoires d'un jugement, soit par exemple lorsque le prévenu obtient une peine inférieure à celle infligée par le jugement de première instance (ACPR/41/2012 du 30 janvier 2012 ; M. NIGGLI / M. HEER / H. WIPRÄCHTIGER, Strafprozessordnung − Jugendstrafprozessordnung, Basler Kommentar StPO / JStPO, 2e éd., Bâle 2014, n. 10 ad art. 436).</w:t>
      </w:r>
    </w:p>
    <w:p>
      <w:r>
        <w:rPr>
          <w:b/>
        </w:rPr>
        <w:t>E. 5.2</w:t>
      </w:r>
    </w:p>
    <w:p>
      <w:r>
        <w:t>Bien que l'amende accessoire infligée à l'appelant ait été réduite en appel, le motif qui y a conduit, a été soulevé d'office par la CPAR et n'a donc exigé aucun travail facturable de l'avocat de l'appelant, si bien qu'aucune indemnité ne sera allouée à ce dernier. * * * * *</w:t>
      </w:r>
    </w:p>
    <w:p>
      <w:r>
        <w:t>- 13/15 - P/21962/2017</w:t>
      </w:r>
    </w:p>
    <w:p>
      <w:r>
        <w:rPr>
          <w:b/>
        </w:rPr>
        <w:t>E. 6</w:t>
      </w:r>
    </w:p>
    <w:p>
      <w:r>
        <w:t>consid. 6.1 p. 20). L'art. 47 CP confère un large pouvoir d'appréciation au juge (ATF 136 IV 55 consid. 5.6 p. 61 ; arrêts du Tribunal fédéral 6B_798/2017 du 14 mars 2018 consid. 2.1 ; 6B_718/2017 du 17 janvier 2018 consid. 3.1 ; 6B_1428/2016 du 3 octobre 2017 consid. 4.1 ; 6B_326/2016 du 22 mars 2017 consid. 4.1). 3.3.2. Selon l'art. 34 al. 1 aCP, la peine pécuniaire ne peut excéder 360 jours- amende ; le juge fixe le nombre en fonction de la culpabilité de l'auteur. Le jour- amende est de CHF 3'000.- au plus et le juge en fixe le montant selon la situation personnelle et économique de l'auteur au moment du jugement, notamment en tenant compte de son revenu et de sa fortune, de son mode de vie, de ses obligations d'assistance, en particulier familiales, et du minimum vital (art. 34 al. 2 aCP). 3.3.3. Le juge peut prononcer, en plus du sursis (art. 42 al. 1 aCP), une peine pécuniaire sans sursis ou une amende selon l'art. 106 CP (art. 42 al. 4 aCP). A l'instar de toute autre peine, l'amende doit être fixée conformément à l'art. 47 CP (arrêts du</w:t>
      </w:r>
    </w:p>
    <w:p>
      <w:r>
        <w:t>- 11/15 - P/21962/2017 Tribunal fédéral 6B_337/2015 du 5 juin 2015 consid. 4.1 ; 6B_988/2010 du 3 mars 2011 consid. 2.1 et 6B_264/2007 du 19 septembre 2007 consid. 4.5). Le juge fixe le montant de l'amende et la quotité de la peine privative de liberté de substitution en tenant compte de la situation de l'auteur, afin que la peine corresponde à la faute commise (art. 106 al. 3 CPP). En cas de peines combinées au sens de l'art. 42 al. 4 CP, l'amende ne peut pas conduire à une aggravation de la peine ou au prononcé d'une sanction supplémentaire. Si une peine combinée est justifiée, les deux sanctions considérées ensemble doivent correspondre à la gravité de la faute (ATF 134 IV 53 consid. 5.2 p. 55 s. ; arrêt du Tribunal fédéral 6B_61/2010 du 27 juillet 2010 consid. 5.2). Pour tenir compte du caractère accessoire des peines cumulées, il se justifie en principe d'en fixer la limite supérieure à un cinquième, respectivement à 20%, de la peine principale (ATF 135 IV 188 consid. 3.4.4 p. 191). Un jour de peine privative de liberté de substitution (art. 106 al. 2 CP) correspond schématiquement à CHF 100.- d'amende (R. ROTH / L. MOREILLON, Code pénal I : art. 1-100 CP, Bâle 2009, n. 19 ad art. 106). 3.4. En l'occurrence, la faute de l'appelant est grave et son mobile égoïste. Il a par désinvolture fait fi des règles de la circulation routière relatives à la vitesse. Dans la mesure où l'excès de vitesse ne pouvait en tant que tel être contesté, sa collaboration à la procédure est sans particularité. Contrairement à ce que plaide l'appelant dans son mémoire d'appel, sa prise de conscience est mauvaise. La réglementation est claire et la signalétique était conforme. Il s'agit d'un utilisateur fréquent du réseau routier Suisse puisqu'il se rend tous les jours dans une commune genevoise depuis plus de 10 ans. Ce nonobstant, il persiste à contester l'infraction qui lui est reprochée. Il n'a aucun antécédent judiciaire en Suisse, élément toutefois neutre s'agissant de la fixation de la peine. Compte tenu des circonstances, le prononcé d'une peine pécuniaire d'une quotité de 60 jours-amende consacre une application correcte des critères des art. 34a CP et 47 CP. Le montant unitaire de la peine de CHF 60.- est adapté à la situation financière de l'appelant, de sorte qu'il n'y a pas lieu de le revoir. Le bénéfice du sursis lui est acquis (art. 391 al. 2 CPP). A titre de prévention spéciale, le prononcé d'une amende en sus s'impose pour faire comprendre à l'appelant la gravité de ses actes. Le montant de celle-ci sera toutefois ramené à CHF 720.-, dans le respect de la jurisprudence sus-rappelée, puisque dite amende est une sanction additionnelle à la peine prononcée. Le jugement querellé sera ainsi réformé.</w:t>
      </w:r>
    </w:p>
    <w:p>
      <w:r>
        <w:t>- 12/15 - P/21962/2017 4. 4.1. Selon les art. 426 al. 1 et 428 al. 1 CPP, les frais de la procédure de première instance et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2.1.1 ; 6B_136/2016 du 23 janvier 2017 consid. 4.1.2). 4.2.1. Compte tenu de la confirmation du verdict de culpabilité prononcé par le Tribunal de police, la sanction accessoire n'ayant été que réduite, il n'y a pas lieu de revoir les frais fixés par le tribunal de première instance. En effet, la réduction de la peine en appel en raison d'un motif non plaidé, à savoir le caractère accessoire de l'amende, ne saurait justifier leur modification (art. 428 al. 3 CPP). 4.2.2. En appel, le prévenu succombe pour l'essentiel. Il se justifie partant de lui faire supporter 4/5èmes des frais de la procédure, qui comprennent un émolument de CHF 2'000.-, le solde étant laissé à la charge de l'Etat (art. 14 al. 1 let. e du règlement fixant le tarif des frais en matière pénale [RTFMP ; E 4 10.03] et 428 al. 2 let. b CPP).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