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AARP/393/2017 vom 11. Dezember 2017</w:t>
      </w:r>
    </w:p>
    <w:p>
      <w:r>
        <w:t>GE Cour de justice, 2017-12-11, FR</w:t>
      </w:r>
    </w:p>
    <w:p>
      <w:r>
        <w:rPr>
          <w:b/>
        </w:rPr>
        <w:t xml:space="preserve">Quelle: </w:t>
      </w:r>
      <w:r>
        <w:t>https://mcp.opencaselaw.ch/entscheid/ge_gerichte_AARP_393_2017</w:t>
      </w:r>
    </w:p>
    <w:p>
      <w:r>
        <w:t>FR: GE_GERICHTE AARP/393/2017 du 11 décembre 2017</w:t>
      </w:r>
    </w:p>
    <w:p>
      <w:r>
        <w:t>IT: GE_GERICHTE AARP/393/2017 del 11 dicembre 2017</w:t>
      </w:r>
    </w:p>
    <w:p>
      <w:pPr>
        <w:pStyle w:val="Heading2"/>
      </w:pPr>
      <w:r>
        <w:t>Erwägungen</w:t>
      </w:r>
    </w:p>
    <w:p>
      <w:r>
        <w:rPr>
          <w:b/>
        </w:rPr>
        <w:t>E. 1</w:t>
      </w:r>
    </w:p>
    <w:p>
      <w:r>
        <w:t>L'appel est recevable pour avoir été interjeté et motivé selon la forme et dans les délais prescrits (art. 398 et 399 CPP). Une annonce d'appel n'était pas nécessaire (ATF 138 IV 157 consid. 2.1 p. 159 ; arrêts du Tribunal fédéral 6B_458/2013 du</w:t>
      </w:r>
    </w:p>
    <w:p>
      <w:r>
        <w:rPr>
          <w:b/>
        </w:rPr>
        <w:t>E. 4</w:t>
      </w:r>
    </w:p>
    <w:p>
      <w:r>
        <w:t>L'appelant n'a, à juste titre, pas discuté la quotité des prétentions civiles allouées par les premiers juges, le dommage ayant été suffisamment démontré. Le préjudice de l'intimée est en lien de causalité évidente avec les infractions commises par l'appelant. Le verdict de culpabilité étant confirmé, il n'y a dès lors pas lieu de revenir sur le prononcé civil, le jugement entrepris étant dès lors également confirmé sur ce point.</w:t>
      </w:r>
    </w:p>
    <w:p>
      <w:r>
        <w:rPr>
          <w:b/>
        </w:rPr>
        <w:t>E. 5</w:t>
      </w:r>
    </w:p>
    <w:p>
      <w:r>
        <w:t>L'appelant principal et l'appelant joint qui succombent, supporteront les frais de la procédure envers l'Etat à raison des trois quarts pour le premier et d'un quart pour le second, la culpabilité de l'appelant principal ayant entièrement été confirmée (art. 428 CPP).</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w:t>
      </w:r>
    </w:p>
    <w:p>
      <w:r>
        <w:t>- 23/27 - P/2485/2014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w:t>
      </w:r>
    </w:p>
    <w:p>
      <w:r>
        <w:rPr>
          <w:b/>
        </w:rPr>
        <w:t>E. 6.3</w:t>
      </w:r>
    </w:p>
    <w:p>
      <w:r>
        <w:t>En l'occurrence, le temps facturé par la défenseure d'office de l'appelant, chef d'étude, pour la préparation de l'audience d'appel, apparaît excessif, le dossier lui étant notamment connu dès l'origine. Le nombre d'heures utiles sera ainsi ramené à trois heures s'agissant de ce poste, auxquels s'ajoutent deux heures et 30 minutes d'entretien avec l'appelant et trois heures d'audience d'appel. Au surplus, compte tenu de l'activité déployée depuis l'ouverture de la procédure qui totalise moins de 30 heures, une indemnité forfaitaire de 20% sera accordée, laquelle couvre notamment l'examen du jugement de première instance.</w:t>
      </w:r>
    </w:p>
    <w:p>
      <w:r>
        <w:rPr>
          <w:b/>
        </w:rPr>
        <w:t>E. 6.4</w:t>
      </w:r>
    </w:p>
    <w:p>
      <w:r>
        <w:t>En conclusion, l'indemnité sera arrêtée à CHF 2'203.20, TVA comprise, correspondant à huit heures et 30 minutes d'activité au tarif de CHF 200.-/heure plus la majoration forfaitaire de 20% (CHF 340.-) et l'équivalent de la TVA au taux de 8% (CHF 163.20). * * * * *</w:t>
      </w:r>
    </w:p>
    <w:p>
      <w:r>
        <w:t>- 25/27 - P/2485/2014</w:t>
      </w:r>
    </w:p>
    <w:p>
      <w:r>
        <w:rPr>
          <w:b/>
        </w:rPr>
        <w:t>E. 10</w:t>
      </w:r>
    </w:p>
    <w:p>
      <w:r>
        <w:t>décembre 2012 consid. 3.7) – l'équivalent de la TVA est versé en sus.</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t>- 24/27 - P/2485/2014</w:t>
      </w:r>
    </w:p>
    <w:p>
      <w:r>
        <w:t>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