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AARP/392/2016 vom 4. Oktober 2016</w:t>
      </w:r>
    </w:p>
    <w:p>
      <w:r>
        <w:t>GE Cour de justice, 2016-10-04, FR</w:t>
      </w:r>
    </w:p>
    <w:p>
      <w:r>
        <w:rPr>
          <w:b/>
        </w:rPr>
        <w:t xml:space="preserve">Quelle: </w:t>
      </w:r>
      <w:r>
        <w:t>https://mcp.opencaselaw.ch/entscheid/ge_gerichte_AARP_392_2016</w:t>
      </w:r>
    </w:p>
    <w:p>
      <w:r>
        <w:t>FR: GE_GERICHTE AARP/392/2016 du 4 octobre 2016</w:t>
      </w:r>
    </w:p>
    <w:p>
      <w:r>
        <w:t>IT: GE_GERICHTE AARP/392/2016 del 4 ottobre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- 9/16 - P/16384/2013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123 CP réprime les lésions du corps humain et les atteintes à la santé qui ne peuvent être qualifiées de graves au sens de l'art. 122 CP et qui ont été infligées intentionnellement.</w:t>
      </w:r>
    </w:p>
    <w:p>
      <w:r>
        <w:t>2.1.2. L'art. 125 al. 1 CP punit celui qui, par négligence, aura fait subir à une personne une atteinte à l'intégrité corporelle ou à la santé. La réalisation de cette infraction suppose la réunion de trois conditions : l'existence de lésions corporelles, une négligence et un lien de causalité entre la négligence et les lésions.</w:t>
      </w:r>
    </w:p>
    <w:p>
      <w:r>
        <w:t>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w:t>
      </w:r>
    </w:p>
    <w:p>
      <w:r>
        <w:t>Un comportement est la cause naturelle d'un résultat s'il en constitue l'une des conditions sine qua non,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w:t>
      </w:r>
    </w:p>
    <w:p>
      <w:r>
        <w:t>- 10/16 - P/16384/2013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 arrêt du Tribunal fédéral 6B_291/2015 du 18 janvier 2016 consid. 3.1).</w:t>
      </w:r>
    </w:p>
    <w:p>
      <w:r>
        <w:t>2.1.3. A teneur de l'art. 26 al. 1 de la Loi fédérale sur la circulation routière du 19 décembre 1958 [LCR ; RS 741.01], chacun doit se comporter, dans la circulation, de manière à ne pas gêner ni mettre en danger ceux qui utilisent la route conformément aux règles établies.</w:t>
      </w:r>
    </w:p>
    <w:p>
      <w:r>
        <w:t>Celui qui dépasse doit avoir particulièrement égard aux autres usagers de la route, notamment à ceux qu'il veut dépasser (art. 35 al. 3 LCR).</w:t>
      </w:r>
    </w:p>
    <w:p>
      <w:r>
        <w:t>2.1.4. La distinction entre lésions corporelles et voies de fait peut s'avérer délicate, notamment lorsque l'atteinte s'est limitée à des contusions, des meurtrissures, des écorchures ou des griffures.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(ATF 119 IV 25 consid. 2a p. 27).</w:t>
      </w:r>
    </w:p>
    <w:p>
      <w:r>
        <w:t>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w:t>
      </w:r>
    </w:p>
    <w:p>
      <w:r>
        <w:t>- 11/16 - P/16384/2013 2c p. 70 et les références citées ; arrêt du Tribunal fédéral 6S.474/2005 du 27 février 2006 consid. 7.1).</w:t>
      </w:r>
    </w:p>
    <w:p>
      <w:r>
        <w:rPr>
          <w:b/>
        </w:rPr>
        <w:t>E. 2.2</w:t>
      </w:r>
    </w:p>
    <w:p>
      <w:r>
        <w:t>Pour la CPAR, tout comme pour le premier juge, il est avéré que le motocycle conduit par l'appelant A______ a heurté l'appelant joint C______, ou plus précisément l'imprimante que celui-ci portait à sa ceinture.</w:t>
      </w:r>
    </w:p>
    <w:p>
      <w:r>
        <w:t>L'accident est établi par les déclarations de la partie plaignante, dont on ne voit guère l'intérêt à l'inventer, et par sa réaction juste après les faits. Elle a en effet consulté un médecin dans la foulée, auquel elle a rapporté avoir été heurtée par une moto, puis a dénoncé l'incident à sa hiérarchie et a entrepris les démarches en vue de faire intervenir l'assurance-accident. Le témoignage du collègue de travail, qui a vu le motocycle se diriger vers eux et a entendu le choc, est aussi un élément à charge, la thèse d'un complot des agents de stationnement à l'égard d'un usager de la route qu'ils ne connaissaient pas ne trouvant aucune assise dans le dossier. L'appelant ne peut rien tirer non plus de l'argument selon lequel si l'accident avait effectivement eu lieu, les agents se seraient dirigés vers lui lorsqu'il attendait aux feux, dans la mesure où la procédure a montré qu'ils n'ont pas le droit d'interpeller les usagers de la route.</w:t>
      </w:r>
    </w:p>
    <w:p>
      <w:r>
        <w:t>Il est également établi que la valise latérale du motocycle a heurté l'imprimante que portait l'agent de stationnement, laquelle a percuté le haut de la cuisse et comprimé le nerf sciatique, provoquant des douleurs et des paresthésies du pied droit. L'atteinte à l'intégrité physique est d'une certaine importance et va au-delà des simples voies de fait, ne serait-ce qu'en raison déjà de la durée de la première incapacité de travail et de la prescription de cannes anglaises. Une atteinte au nerf sciatique a d'ailleurs été observée à l'examen neurologique et l'assurance-accident a pris en charge le cas, sur la base des certificats médicaux. Il est en outre constant qu'un heurt avec un véhicule à moteur, même à faible allure, est de nature à provoquer les lésions subies par la victime, de sorte que le lien de causalité adéquate est établi.</w:t>
      </w:r>
    </w:p>
    <w:p>
      <w:r>
        <w:t>S'agissant de la violation du devoir de prudence, l'appelant a admis qu'il avait coupé le virage et s'était déporté sur la gauche, afin de dépasser un camion. Il n'a pas exclu qu'il avait pu frôler les agents de stationnement, même s'il ne les avait pas vus. En effectuant cette manœuvre d'évitement, qui a provoqué le heurt, il n'a pas pris les précautions commandées par les circonstances, qui lui imposaient, faute de place, d'attendre que le camion termine sa manœuvre. Une violation du devoir de prudence est partant établie (art. 26 et 35 al. 3 LCR).</w:t>
      </w:r>
    </w:p>
    <w:p>
      <w:r>
        <w:t>Le dossier ne permet en revanche pas de retenir que l'appelant principal, contrarié par l'amende qui venait de lui être infligée, a foncé volontairement sur les agents de stationnement. Le témoin G______ a lui-même concédé qu'il n'était pas certain que l'acte avait été délibéré. Le regard du motard dans le rétroviseur, observé par les agents de stationnement, ne constitue pas un indice suffisant pour admettre le dol, ce d'autant qu'il n'est pas exclu que le prévenu n'ait pas perçu le choc, comme il le</w:t>
      </w:r>
    </w:p>
    <w:p>
      <w:r>
        <w:t>- 12/16 - P/16384/2013 soutient, dans la mesure où c'est la valise latérale de sa moto qui a heurté le plaignant.</w:t>
      </w:r>
    </w:p>
    <w:p>
      <w:r>
        <w:t>Le verdict de culpabilité est ainsi entièrement confirmé.</w:t>
      </w:r>
    </w:p>
    <w:p>
      <w:r>
        <w:rPr>
          <w:b/>
        </w:rPr>
        <w:t>E. 3</w:t>
      </w:r>
    </w:p>
    <w:p>
      <w:r>
        <w:t>L'appelant A______, qui a conclu à son acquittement, n'a pas critiqué la nature et la quotité de la peine qui lui a été infligée, ne serait-ce qu'à titre subsidiaire. La peine pécuniaire de 120 jours-amende est adaptée à sa faute, qui n'est pas négligeable, dans la mesure où il a adopté un comportement dangereux pour les autres usagers de la route. S'il s'est plutôt bien comporté dans la procédure, sa position consistant à affirmer que les agents de stationnement auraient menti et inventé l'accident n'est pas soutenable et dénote une prise de conscience imparfaite. Le montant du jour-amende, fixé à CHF 30.-, est adapté à sa situation financière et sera confirmé tout comme le sursis, qui lui est acquis et dont les conditions sont au demeurant réalisées.</w:t>
      </w:r>
    </w:p>
    <w:p>
      <w:r>
        <w:t>L'amende de CHF 500.- infligée à titre de sanction immédiate, qui n'est pas non plus contestée, sera également confirmée.</w:t>
      </w:r>
    </w:p>
    <w:p>
      <w:r>
        <w:rPr>
          <w:b/>
        </w:rPr>
        <w:t>E. 4.1</w:t>
      </w:r>
    </w:p>
    <w:p>
      <w:r>
        <w:t>En vertu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(ATF 141 III 97 consid. 11.1 p. 98 et les références citées).</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p. 119 ; ATF 125 III 412 consid. 2a p. 417 ; arrêt 4A_373/2007 du 8 janvier 2008 consid. 3.2, non publié in ATF 134 III 97).</w:t>
      </w:r>
    </w:p>
    <w:p>
      <w:r>
        <w:t>L'indemnité allouée doit être équitable (ATF 130 III 699 consid. 5.1 p. 704/705 et les références citées). Le juge applique les règles du droit et de l'équité lorsque la loi le charge, comme l'art. 47 CO, de prononcer en tenant compte des circonstances (art. 4 du Code civil suisse du 10 décembre 1907 [CC - RS 210]).</w:t>
      </w:r>
    </w:p>
    <w:p>
      <w:r>
        <w:rPr>
          <w:b/>
        </w:rPr>
        <w:t>E. 4.2</w:t>
      </w:r>
    </w:p>
    <w:p>
      <w:r>
        <w:t>En l'espèce, il ressort du dossier que le plaignant C______ a subi des atteintes à son intégrité corporelle, résultant de l'accident du 4 octobre 2013, qui sont documentées. Il a porté des cannes anglaises pendant plusieurs semaines et n'a recouvré une pleine capacité de travail, en lien avec les troubles somatiques, que le</w:t>
      </w:r>
    </w:p>
    <w:p>
      <w:r>
        <w:t>- 13/16 - P/16384/2013</w:t>
      </w:r>
    </w:p>
    <w:p>
      <w:r>
        <w:rPr>
          <w:b/>
        </w:rPr>
        <w:t>E. 6</w:t>
      </w:r>
    </w:p>
    <w:p>
      <w:r>
        <w:t>En tant qu'ils succombent, l'appelant principal et l'appelant joint supporteront chacun la moitié des frais de la procédure envers l'Etat (art. 428 CPP). * * * * *</w:t>
      </w:r>
    </w:p>
    <w:p>
      <w:r>
        <w:t>- 15/16 - P/16384/2013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