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AARP/391/2016 vom 5. Oktober 2016</w:t>
      </w:r>
    </w:p>
    <w:p>
      <w:r>
        <w:t>GE Cour de justice, 2016-10-05, FR</w:t>
      </w:r>
    </w:p>
    <w:p>
      <w:r>
        <w:rPr>
          <w:b/>
        </w:rPr>
        <w:t xml:space="preserve">Quelle: </w:t>
      </w:r>
      <w:r>
        <w:t>https://mcp.opencaselaw.ch/entscheid/ge_gerichte_AARP_391_2016</w:t>
      </w:r>
    </w:p>
    <w:p>
      <w:r>
        <w:t>FR: GE_GERICHTE AARP/391/2016 du 5 octobre 2016</w:t>
      </w:r>
    </w:p>
    <w:p>
      <w:r>
        <w:t>IT: GE_GERICHTE AARP/391/2016 del 5 ottobre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vol par métier est passible d'une peine privative de liberté de dix ans au plus ou d'une peine pécuniaire de 90 jours-amende au moins (art. 139 ch. 2 CP). Les</w:t>
      </w:r>
    </w:p>
    <w:p>
      <w:r>
        <w:t>- 7/13 - P/12670/2015 dommages à la propriété et les violations de domicile peuvent être sanctionnées d'une peine privative de liberté de trois ans au plus ou d'une peine pécuniaire (art. 144 et 181 CP), tandis que l'infraction de séjour illégal est passible d'une peine privative de liberté d'une année au plus (art. 115 al. 1 let. LEtr).</w:t>
      </w:r>
    </w:p>
    <w:p>
      <w:r>
        <w:t>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t>Il est inévitable qu'une peine privative de liberté ait des répercussions sur le conjoint et les enfants du condamné. Cette conséquence ne peut cependant conduire à une réduction de la peine qu'en cas de circonstances extraordinaires (par exemple en cas d'enfant en bas âge à la charge du condamné ; arrêt du Tribunal fédéral 6B_708/2008 duu 22 octobre 2008 consid. 3.2 et 6B_646/2008 du 23 avril 2009 consid. 4.3.2 et les références citées).</w:t>
      </w:r>
    </w:p>
    <w:p>
      <w:r>
        <w:t>Au sujet de la nécessité de prendre en considération l'effet de la peine sur l'avenir du condamné, la jurisprudence souligne que le juge doit éviter les sanctions qui pourraient détourner l'intéressé de l'évolution souhaitable (ATF 128 IV 73 consid. 4 p. 79 ; 127 IV 97 consid. 3 p. 101). Cet aspect de prévention spéciale ne permet toutefois que des corrections marginales, la peine devant toujours rester</w:t>
      </w:r>
    </w:p>
    <w:p>
      <w:r>
        <w:t>- 8/13 - P/12670/2015 proportionnée à la faute (arrêts du Tribunal fédéral 6B_633/2007 du 30 novembre 2007 consid. 4.1 et 6B_673/2007 du 15 février 2008 consid. 3.1).</w:t>
      </w:r>
    </w:p>
    <w:p>
      <w:r>
        <w:t>2.1.3.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t>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2.1.4. Selon l'art. 43 CP, le juge peut suspendre partiellement l'exécution d'une peine pécuniaire, d'un travail d'intérêt général ou d'une peine privative de liberté d'un an au moins et de trois ans au plus afin de tenir compte de façon appropriée de la faute de l'auteur (al. 1).</w:t>
      </w:r>
    </w:p>
    <w:p>
      <w:r>
        <w:t>Le sursis partiel permet au juge d'infliger une peine privative de liberté dont une partie ferme et l'autre avec sursis. L'autorité ne se trouve ainsi plus confrontée au choix du "tout ou rien", mais dispose au contraire d'une marge d'appréciation plus étendue et d'une plus grande possibilité d'individualisation de la peine.</w:t>
      </w:r>
    </w:p>
    <w:p>
      <w:r>
        <w:t>Les conditions subjectives permettant l'octroi du sursis (art. 42 CP), à savoir les perspectives d'amendement, valent également pour le sursis partiel prévu à l'art.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w:t>
      </w:r>
    </w:p>
    <w:p>
      <w:r>
        <w:t>Pour statuer sur la suspension partielle de l'exécution d'une peine, le juge doit tenir compte de façon appropriée de la faute de l'auteur. Or, cette notion de faute, définie à l'art. 47 al. 2 CP, constitue avant tout un critère d'appréciation pour la fixation de la peine. Pour savoir si un sursis partiel paraît nécessaire en raison de la faute de l'auteur et de ses perspectives d'amendement, on ne peut faire référence de la même</w:t>
      </w:r>
    </w:p>
    <w:p>
      <w:r>
        <w:t>- 9/13 - P/12670/2015 manière au critère de la culpabilité tel que prévu à l'art. 47 al. 2 CP.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Dans ce cas, la notion de faute trouve pleinement sa place (ATF 134 IV 1 consid. 5.3.3).</w:t>
      </w:r>
    </w:p>
    <w:p>
      <w:r>
        <w:t>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C'est là que se trouve le champ d'application principal de l'art. 43 CP (ATF 134 IV 1 consid. 5.5.1 p. 14).</w:t>
      </w:r>
    </w:p>
    <w:p>
      <w:r>
        <w:t>2.2.1. La faute de l'appelant est lourde. Agissant par appât d'un gain facile à obtenir, il a commis neuf cambriolages en l'espace d'un mois, en s'introduisant par effraction chez des particuliers et dérobant divers objets et valeurs pour un butin conséquent se montant à plusieurs dizaines de milliers de francs. Il s'en est pris aux biens et à la sphère intime d'autrui, sans égard aux conséquences patrimoniales et psychologiques de ses actes pour ses victimes.</w:t>
      </w:r>
    </w:p>
    <w:p>
      <w:r>
        <w:t>Il a agi avec méthode et rapidité à la manière d'un professionnel en écumant plusieurs appartements en Suisse romande selon le même mode opératoire. Sa première arrestation à Neuchâtel n'a produit aucun effet sur lui, l'appelant ayant récidivé deux jours plus tard dans le canton de Vaud.</w:t>
      </w:r>
    </w:p>
    <w:p>
      <w:r>
        <w:t>La collaboration de l'appelant n'est pas aussi bonne qu'il le prétend. Arrêté en possession d'une valise pleine d'objets volés, il pouvait difficilement nier son implication dans des cambriolages. Cela ne l'a pas empêché d'affirmer dans un premier temps qu'il avait tout au plus commis cinq cambriolages, sur les neuf qui seront finalement retenus, et de nier les deux occurrences genevoises, nonobstant l'ADN trouvé sur la serrure d'une porte.</w:t>
      </w:r>
    </w:p>
    <w:p>
      <w:r>
        <w:t>Contrairement à ce qu'il a soutenu devant les policiers vaudois, l'appelant a plusieurs antécédents spécifiques en Autriche, dont le dernier remonte à 2010.</w:t>
      </w:r>
    </w:p>
    <w:p>
      <w:r>
        <w:t>Le vol par métier, dont la peine menace est de dix ans, entre en concours avec les dommages à la propriété, les violations de domicile et l'infraction de séjour illégal, ce qui justifie d'augmenter la peine de l'infraction la plus grave dans une juste proportion (art. 49 CP).</w:t>
      </w:r>
    </w:p>
    <w:p>
      <w:r>
        <w:t>- 10/13 - P/12670/2015</w:t>
      </w:r>
    </w:p>
    <w:p>
      <w:r>
        <w:t>La situation personnelle de l'appelant est sans particularité. Il ne ressort en particulier pas du dossier que sa toxicomanie aurait nécessité un traitement en prison. Ses responsabilités de père ou ses conditions de vie difficiles dans son pays d'origine ne diffèrent pas de celles de nombreux de ses compatriotes et ne justifient pas d'atténuer la peine.</w:t>
      </w:r>
    </w:p>
    <w:p>
      <w:r>
        <w:t>Au vu de ce qui précède, une peine privative de liberté de 30 mois s'avère adéquate et correspond à la faute de l'intéressé. Elle a été à juste titre déclarée complémentaire à la peine privative de liberté de 15 jours prononcée par les autorités valaisannes le 29 décembre 2015 pour dommages à la propriété.</w:t>
      </w:r>
    </w:p>
    <w:p>
      <w:r>
        <w:t>2.2.2. Avec les premiers juges, il convient de constater que le pronostic est en l'occurrence concrètement défavorable. Le comportement de l'appelant durant la procédure ne dénote pas une prise de conscience particulière. Il a certes admis les faits, mais il pouvait difficilement agir autrement. Il s'est en outre retranché derrière sa consommation de stupéfiants pour expliquer sa mémoire défaillante. Or, les cambriolages ont été commis de manière méthodique et rodée, ce qui s'accommode mal avec la confusion propre aux actes perpétrés dans un état d'intoxication.</w:t>
      </w:r>
    </w:p>
    <w:p>
      <w:r>
        <w:t>Tout laisse penser que l'appelant, qui avait remis le butin à sa compagne, pour qu'elle le transporte en Autriche, aurait continué son activité délictuelle, s'il n'avait pas été arrêté.</w:t>
      </w:r>
    </w:p>
    <w:p>
      <w:r>
        <w:t>Enfin, si les antécédents en Suisse ne sont pas très graves, ceux autrichiens le sont davantage. Ils s'étendent sur une période de cinq ans ce qui montre que l'appelant a érigé la délinquance en mode de vie et que les décisions judiciaires ne produisent pas l'effet dissuasif escompté. Le risque qu'à sa sortie de prison il commette à nouveau des infractions contre le patrimoine est concret. Les conditions permettant de prononcer le sursis partiel ne sont par conséquent pas réunies.</w:t>
      </w:r>
    </w:p>
    <w:p>
      <w:r>
        <w:t>L'appel sera ainsi entièrement rejeté.</w:t>
      </w:r>
    </w:p>
    <w:p>
      <w:r>
        <w:rPr>
          <w:b/>
        </w:rPr>
        <w:t>E. 3</w:t>
      </w:r>
    </w:p>
    <w:p>
      <w:r>
        <w:t>L'appelant, qui succombe, supportera les frais de la procédure envers l'Etat (art. 428 CPP).</w:t>
      </w:r>
    </w:p>
    <w:p>
      <w:r>
        <w:rPr>
          <w:b/>
        </w:rPr>
        <w:t>E. 4.1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Selon l'art. 135 al. 1 CPP, le défenseur d'office ou le conseil juridique gratuit (art. 138 al. 1 CPP) est indemnisé conformément au tarif des avocats de la Confédération</w:t>
      </w:r>
    </w:p>
    <w:p>
      <w:r>
        <w:t>- 11/13 - P/12670/2015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rPr>
          <w:b/>
        </w:rPr>
        <w:t>E. 4.2</w:t>
      </w:r>
    </w:p>
    <w:p>
      <w:r>
        <w:t>En l'occurrence, le défenseur d'office de l'appelant n'a pas déposé son état de frais, bien qu'invité à le faire par courrier de la direction de la procédure du 22 juin 2016.</w:t>
      </w:r>
    </w:p>
    <w:p>
      <w:r>
        <w:t>La CPAR arrêtera cette indemnité ex aequo et bono à CHF 777.60.-, TVA à 8% incluse, correspondant à 3h00 d'activité au tarif de CHF 200.-/heure, pour un mémoire de six pages, dont celle de garde, plus la majoration forfaitaire usuelle de 20% (CHF 120.-). * * * * *</w:t>
      </w:r>
    </w:p>
    <w:p>
      <w:r>
        <w:t>- 12/13 - P/12670/2015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