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AARP/38/2018 vom 26. Januar 2018</w:t>
      </w:r>
    </w:p>
    <w:p>
      <w:r>
        <w:t>GE Cour de justice, 2018-01-26, FR</w:t>
      </w:r>
    </w:p>
    <w:p>
      <w:r>
        <w:rPr>
          <w:b/>
        </w:rPr>
        <w:t xml:space="preserve">Quelle: </w:t>
      </w:r>
      <w:r>
        <w:t>https://mcp.opencaselaw.ch/entscheid/ge_gerichte_AARP_38_2018</w:t>
      </w:r>
    </w:p>
    <w:p>
      <w:r>
        <w:t>FR: GE_GERICHTE AARP/38/2018 du 26 janvier 2018</w:t>
      </w:r>
    </w:p>
    <w:p>
      <w:r>
        <w:t>IT: GE_GERICHTE AARP/38/2018 del 26 gennaio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notamment, la question de la culpabilité (let. a), la quotité de la peine (let. b) et les frais, les indemnités et la réparation du tort moral (let. f).</w:t>
      </w:r>
    </w:p>
    <w:p>
      <w:r>
        <w:t>La Chambre limite son examen aux violations décrites dans l'acte d'appel (art. 404 al. 1 CPP), sauf en cas de décisions illégales ou inéquitables (art. 404 al. 2 CPP).</w:t>
      </w:r>
    </w:p>
    <w:p>
      <w:r>
        <w:rPr>
          <w:b/>
        </w:rPr>
        <w:t>E. 2.1</w:t>
      </w:r>
    </w:p>
    <w:p>
      <w:r>
        <w:t>La garantie du droit d'être entendu, déduite de l'art. 29 al. 2 de la Constitution fédérale de la Confédération suisse du 18 avril 1999 (Cst. - RS 101), impose à l'autorité de motiver ses décisions, afin que les parties puissent les comprendre et apprécier l'opportunité de les attaquer, et que les autorités de recours soient en mesure d'exercer leur contrôle (ATF 141 III 28 consid. 3.2.4 p. 41 ; ATF 136 I 229 consid. 5.2 p. 236 ; ATF 135 I 265 consid. 4.3 p. 276). Il suffit que l'autorité mentionne au moins brièvement les motifs fondant sa décision, de manière à ce que l'intéressé puisse se rendre compte de la portée de celle-ci et exercer son droit de recours à bon escient (ATF 142 I 135 consid. 2.1 p. 145 ; arrêt du Tribunal fédéral 6B_726/2017 du 20 octobre 2017 consid. 4.1.1). La motivation peut d'ailleurs être implicite et résulter des différents considérants de la décision (ATF 141 V 557 consid. 3.2.1 p. 565 ; arrêt du Tribunal fédéral 6B_1369/2016 du 20 juillet 2017 consid. 3.1).</w:t>
      </w:r>
    </w:p>
    <w:p>
      <w:r>
        <w:t>- 9/22 - P/6071/2016 Le droit d'être entendu est certes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ATF 137 I 195 = SJ 2011 I 345).</w:t>
      </w:r>
    </w:p>
    <w:p>
      <w:r>
        <w:rPr>
          <w:b/>
        </w:rPr>
        <w:t>E. 2.2</w:t>
      </w:r>
    </w:p>
    <w:p>
      <w:r>
        <w:t>En l'espèce, contrairement à ce que soutient l'appelant, le jugement entrepris expose de façon claire et détaillée les motifs fondant la décision, les éléments constitutifs de l'infraction reprochée ainsi que la fixation de la peine, de sorte que celui-ci pouvait se rendre compte de sa portée et a valablement exercé son droit de recours. Pour le surplus, la CPAR dispose d'un plein pouvoir d'examen.</w:t>
      </w:r>
    </w:p>
    <w:p>
      <w:r>
        <w:rPr>
          <w:b/>
        </w:rPr>
        <w:t>E. 3.1</w:t>
      </w:r>
    </w:p>
    <w:p>
      <w:r>
        <w:t>L'art. 217 al. 1 CP punit, sur plainte, celui qui n'aura pas fourni les aliments ou les subsides qu'il doit en vertu du droit de la famille, quoi qu'il en eût les moyens ou pût les avoir. 3.2.1.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3.2.2. Lorsque la quotité de la contribution d'entretien a été fixée dans le dispositif d'un jugement civil valable et exécutoire, le juge pénal appelé à statuer en application de l'art. 217 CP est lié par ce montant (ATF 106 IV 36 ; arrêts du Tribunal fédéral 6B_1017/2016 du 10 juillet 2017 consid. 2.2 ; 6B_608/2014 du 6 janvier 2015 consid. 1.1). Une décision de mesures provisionnelles lie les autorités pénales et suffit à fonder l'obligation d'entretien du débiteur d'aliments (cf. ATF 136 IV 122 consid. 2.3 p. 125 s. ; arrêt du Tribunal fédéral 6B_509/2008 du 29 août 2008 consid. 2.2). Le juge pénal n'a pas à se demander s'il aurait lui-même fixé une somme inférieure ou supérieure. Une constatation judiciaire préalable n'est cependant pas nécessaire dans la mesure où l'obligation d'entretien découle directement de la loi (ATF 128 IV 86 consid. 2b p. 90).</w:t>
      </w:r>
    </w:p>
    <w:p>
      <w:r>
        <w:t>- 10/22 - P/6071/2016 L'autorité pénale, qui ne peut pas se fonder sur un jugement civil entré en force ou une convention conclue entre les parties, doit appliquer la méthode dite "directe" et déterminer elle-même la prestation due, ce qui est particulièrement important lorsque le procès civil connaît des longueurs et que le débiteur refuse de payer une pension tant qu'elle n'est pas fixée par une autorité (ATF 128 IV 86 consid. abb et les références citées ; ACPR/485/2015 du 8 septembre 2015 consid. 2.2 ; J. HURTADO POZO, Droit pénal partie spéciale, Genève 2009, n. 3457 ss). 3.2.3. On ne peut reprocher à l'auteur d'avoir violé son obligation d'entretien que s'il avait les moyens de la remplir, ou aurait pu les avoir (arrêt du Tribunal fédéral 6B_509/2008 du 29 août 2008 consid. 2.1). Par-là, on entend celui qui, d'une part, ne dispose certes pas de moyens suffisants pour s'acquitter de son obligation, mais qui, d'autre part, ne saisit pas les occasions de gain qui lui sont offertes et qu'il pourrait accepter (ATF 126 IV 131 consid. 3a p. 133 ; arrêt du Tribunal fédéral 6B_1017/2016 du 10 juillet 2017 consid. 2.2).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 JT 2001 IV 55). Il n'est pas nécessaire que le débiteur ait eu les moyens de fournir entièrement sa prestation, il suffit qu'il ait pu fournir plus qu'il ne l'a fait et qu'il ait, dans cette mesure, violé son obligation d'entretien (ATF 114 IV 124 consid. 3b p. 124 s. ; arrêt du Tribunal fédéral 6B_1017/2016 du 10 juillet 2017 consid. 2.4). 3.2.4.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du Tribunal fédéral 6B_1017/2016 du 10 juillet 2017 consid. 2.1 ; 6B_496/2016 du 5 janvier 2017 consid. 1.2 et les références ; 6B_573/2013 du 1er octobre 2013 consid. 1.1). La capacité économique de l'accusé de verser la contribution d'entretien se détermine par analogie avec le droit des poursuites relatif au minimum vital (art. 93 LP ; ATF 121 IV 272 consid. 3c p. 277). Le débiteur ne peut pas choisir de payer d'autres dettes en dehors de ce qui entre dans la détermination de son minimum vital (arrêt du Tribunal fédéral 6S.208/2004 du 19 juillet 2004 consid. 2.1). Selon les normes d'insaisissabilité pour l'année 2016 (NI-2016 – E 3 60.04), mise en œuvre de l'art. 93 LP dans le canton de Genève, le montant de base mensuel (comprenant notamment les frais pour le courant électrique) pour un couple marié</w:t>
      </w:r>
    </w:p>
    <w:p>
      <w:r>
        <w:t>- 11/22 - P/6071/2016 s'élevait à CHF 1'700.-, montant à réduire en règle générale, de la moitié (au maximum) si le débiteur vivait en communauté de vie avec un partenaire disposant également de revenus. En supplément au montant de base mensuel, il convenait d'ajouter le loyer effectif pour le logement ou les intérêts hypothécaires, les frais de chauffage et les charges accessoires, les cotisations sociales (notamment à la caisse maladie), les dépenses indispensables à l’exercice d’une profession (notamment pour les repas pris hors du domicile, de CHF 9.- à CHF 11.- par repas principal, et pour les déplacements du domicile au lieu de travail), la formation des enfants et les dépenses diverses (frais médicaux, médicaments, franchise, naissance et soins apportés à des membres de sa famille, déménagement, etc.). En revanche, le versement d'un impôt n'est pas une dépense indispensable au sens de l'art. 93 LP et n'est pas pris en compte dans le calcul du minimum vital (ATF 126 III 89 p. 93 consid. 3b). Si les conditions pour la prise en compte de l'entretien de l'enfant majeur dans le minimum vital du débiteur sont réalisées, cela implique que la base mensuelle d'entretien de l'enfant majeur ainsi que ses frais d'assurance-maladie seront portés à la charge du débiteur mais non les frais liés directement (taxes d'inscription) ou indirectement (frais de repas à l'extérieur, de transport, de logement et de pension) aux études supérieures de celui-ci (arrêts du Tribunal fédéral 5A_919/2012 du 11 février 2013 consid. 5.3 ; 5A_429/2013 du 16 août 2013 consid. 4). 3.2.5. Sur le plan subjectif, l'infraction réprimée par l'art. 217 CP doit être commise intentionnellement (ATF 70 IV 166,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 3.2.6. L'art. 217 CP n'est pas une infraction de résultat. Il importe dès lors peu que le créancier se retrouve dans une situation de détresse en raison du non-paiement des aliments ou, au contraire, n'ait pas besoin de ces subsides pour vivre (ATF 71 IV 194, p. 195 ; arrêt du Tribunal fédéral 6P.44/2005 du 27 mai 2005 consid. 4.1 et les références citées). 3.2.7. La dette alimentaire est prioritaire à toutes les autres (ACJP/161/2007 cons. 2.1), ce qui résulte de plusieurs éléments, notamment du caractère pénal du défaut d'extinction de cette dette (art. 217 CP ici examiné), de sa priorité dans la collocation en droit des poursuites (art. 219 al. 4 1ère lit. c LP) et de sa spécificité par rapport à l'entame éventuelle du minimum vital (ATF 6S.113/2007 du 12 juin 2007, cons. 3.3; ATF 123 III 332).</w:t>
      </w:r>
    </w:p>
    <w:p>
      <w:r>
        <w:t>- 12/22 - P/6071/2016</w:t>
      </w:r>
    </w:p>
    <w:p>
      <w:r>
        <w:rPr>
          <w:b/>
        </w:rPr>
        <w:t>E. 4.1</w:t>
      </w:r>
    </w:p>
    <w:p>
      <w:r>
        <w:t>En l'espèce, la CPAR est liée par la quotité de la contribution d'entretien mensuelle, à savoir CHF 4'500.-, fixée par le Tribunal de première instance le 12 juillet 2016, avec effet rétroactif au 1er décembre 2014, étant relevé que ce jugement n'a pas fait l'objet d'un appel, ni d'une demande de révision. L'appelant n'a au surplus pas établi qu'il n'aurait pas disposé des ressources financières pour faire appel ou qu'il aurait déposé une demande d'assistance judiciaire, en vue de la prise en charge de ses frais d'avocat et de l'exonération des frais judiciaires.</w:t>
      </w:r>
    </w:p>
    <w:p>
      <w:r>
        <w:rPr>
          <w:b/>
        </w:rPr>
        <w:t>E. 4.2</w:t>
      </w:r>
    </w:p>
    <w:p>
      <w:r>
        <w:t>Conformément à l'art. 34 CP, la peine pécuniaire est fixée en jours-amende dont le tribunal fixe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4.3</w:t>
      </w:r>
    </w:p>
    <w:p>
      <w:r>
        <w:t>En l'espèce, l'appelant n'a pas pris de conclusions subsidiaires sur la peine, laquelle n'est contestée ni dans sa nature, ni dans sa quotité. Comme retenu par le premier juge, sa faute n'est pas légère. Il ne s'est pas acquitté, ou très partiellement, de son obligation d'entretien certes pendant une période pénale assez courte, mais qui se perpétue encore aujourd'hui. Il a ainsi fait preuve d'égoïsme, en privant son épouse des ressources auxquelles elle pouvait légitimement prétendre. Il n'a exprimé aucun regret, susceptible de démontrer qu'il aurait pris conscience de la gravité de ses actes. Il n'a plus cherché à s'acquitter, malgré le dépôt de la plainte, même symboliquement, de la contribution due, alors qu'il en avait les moyens, à tout le moins partiellement.</w:t>
      </w:r>
    </w:p>
    <w:p>
      <w:r>
        <w:t>- 15/22 - P/6071/2016 La peine de 60 jours-amende, à CHF 55.- l'unité, consacre une application correcte des critères fixés à l'art. 47 CP. Elle tient compte de manière adéquate de la gravité de la faute et de la situation personnelle de l'appelant et sera par conséquent confirmée. Le principe du sursis est acquis à l'appelant (art. 391 al. 2 CPP). Le jugement entrepris sera par conséquent entièrement confirmé.</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w:t>
      </w:r>
    </w:p>
    <w:p>
      <w:r>
        <w:t>- 14/22 - P/6071/2016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w:t>
      </w:r>
    </w:p>
    <w:p>
      <w:r>
        <w:rPr>
          <w:b/>
        </w:rPr>
        <w:t>E. 6</w:t>
      </w:r>
    </w:p>
    <w:p>
      <w:r>
        <w:t>L'appelant, qui succombe, supportera les frais de la procédure, comprenant un émolument de décision de CHF 2'000.- (art. 428 CPP et 14 al. 1 let. e du Règlement fixant le tarif des frais en matière pénale du 22 décembre 2010 [RS E 4 10.03]).</w:t>
      </w:r>
    </w:p>
    <w:p>
      <w:r>
        <w:rPr>
          <w:b/>
        </w:rPr>
        <w:t>E. 7.1</w:t>
      </w:r>
    </w:p>
    <w:p>
      <w:r>
        <w:t>Conformément à l'art. 391 al. 2 CPP, la juridiction d'appel ne peut modifier une décision au détriment du prévenu ou du condamné si le recours a été interjeté uniquement en leur faveur. Le but de cette disposition est de permettre au prévenu d'exercer son droit de recours sans craindre d'être puni plus sévèrement (ATF 139 IV 282 consid. 2.4.3 p. 287 et les références citées). L'existence d'une reformatio in pejus doit être examinée à l'aune du dispositif (ATF 142 IV 129 consid. 4.5 p. 136 ; ATF 141 IV 132 consid. 2.7.3 p. 140 ; arrêt du Tribunal fédéral 6B_69/2016 du 29 septembre 2016 consid. 2.2.1). 7.2.1.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S'agissant des prétentions en indemnités dans la procédure d'appel, l'art. 433 al. 1 CPP est également applicable par renvoi de l'art. 436 al. 1 CPP. 7.2.2.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 arrêt du Tribunal fédéral 6B_549/2015 du 16 mars 2016 consid. 2.3). Sa prétention en indemnisation n'entre pas dans les prétentions civiles au sens des art. 122 ss CPP et est spécialement réglée par l'art. 433 CPP (arrêt du Tribunal fédéral 6B_47/2017 du 13 décembre 2017 consid. 2.2.4 destiné à la publication).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p. 107). En particulier, les démarches doivent</w:t>
      </w:r>
    </w:p>
    <w:p>
      <w:r>
        <w:t>- 16/22 - P/6071/2016 apparaître nécessaires et adéquates pour la défense raisonnable du point de vue de la partie plaignante (ATF 139 IV 102 consid. 4.3 p. 108 ; arrêts du Tribunal fédéral 6B_524/2017 du 22 novembre 2017 consid. 2.1 ; 6B_864/2015 du 1er novembre 2016 consid. 3.2 ; 6B_159/2012 du 22 juin 2012 consid. 2.3). 7.2.4.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7.2.5.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6B_549/2015 du 16 mars 2016 consid. 2.3 = SJ 2017 I 37). Conformément à l'art. 81 al. 4 let. b CPP, le juge doit statuer sur l'indemnité dans le jugement lui-même. Il ne saurait être question d'une procédure séparée sur cet aspect. Nonobstant l'absence de maxime d'instruction, le juge doit néanmoins rendre attentive la partie plaignante à son droit d'obtenir, le cas échéant, une indemnité, comme à son devoir de chiffrer et documenter celle-ci (arrêts du Tribunal fédéral 6B_1000/2015 du 28 septembre 2016 consid. 3 ; 6B_1007/2015 du 14 juin 2016 consid. 1.5.1 et 6B_965/2013 du 3 décembre 2013 consid. 3.1.2 et les références). Il résulte ainsi du système légal que l'indemnité ne peut pas être requise en tout temps dans le cadre d'une procédure indépendante, selon les art. 363 ss CPP. Elle doit être tranchée avant le jugement. La seule réserve invoquée en doctrine (cf. supra) est que le juge doit avoir rendu la partie plaignante attentive à son droit à l'indemnisation (arrêt du Tribunal fédéral 6B_965/2013 du 3 décembre 2013 consid. 3.1 et 3.3 = SJ 2014 I 228). Le refus d'entrer en matière sur les prétentions en indemnité sans auparavant interpeller les parties plaignantes sur ce point, constitue une violation de l'art. 433 al. 2 CPP et un déni de justice, dans la mesure où le juge aurait pu statuer d'office (arrêt du Tribunal fédéral 6B_1000/2015 du 28 septembre 2016 consid. 4). Dans un arrêt récent, contrairement à ce qui avait été décidé dans un arrêt 6B_1000/2015 du 28 septembre 2016 consid. 4, le Tribunal fédéral a retenu qu'une partie plaignante</w:t>
      </w:r>
    </w:p>
    <w:p>
      <w:r>
        <w:t>- 17/22 - P/6071/2016 représentée par un avocat, laquelle demandait dans son mémoire de recours une indemnité, ne pouvait attendre de l'autorité pénale qu'elle l'invite à la chiffrer et à la justifier, dans la mesure où son conseil ne pouvait ignorer la règle de 433 al. 2 CPP (arrêt 6B_1345/2016 du 30 novembre 2017 consid. 7.2). 7.2.6. En outre, lorsque la cause fait l'objet d'une procédure de première instance (art. 328 ss CPP), il résulte du régime légal (cf. supra) que les prétentions selon l'art. 433 CPP doivent être soumises au juge avant la fin des débats de manière à ce que celui-ci puisse les traiter conformément à l'art. 81 al. 4 let. b CPP. Il n'y a, en effet, rien d'insolite ou d'illogique d'exiger que la partie plaignante invoque l'allocation d'une indemnité jusqu'à la clôture des débats quand bien même l'action pénale n'est alors pas jugée. Le sort de l'action pénale ne l'empêche, en effet, pas d'articuler ses prétentions, en particulier ses frais d'avocat, et il incombe au juge d'examiner si la partie plaignante remplit les conditions d'allocation, notamment si elle a obtenu gain de cause au sens de l'art. 433 al. 1 CPP. 7.2.7. L'indemnité fondée sur l'art. 433 CPP pour les dépenses obligatoires occasionnées par la procédure ne produit pas d'intérêts (arrêt du Tribunal fédéral 6B_47/2017 du 13 décembre 2017 consid. 2.2.4 destiné à la publication).</w:t>
      </w:r>
    </w:p>
    <w:p>
      <w:r>
        <w:rPr>
          <w:b/>
        </w:rPr>
        <w:t>E. 7.3</w:t>
      </w:r>
    </w:p>
    <w:p>
      <w:r>
        <w:t>En l'espèce, l'intimée, qui n'a pas formé appel ni appel joint, a déposé pour la première fois des prétentions en indemnisation au sens de l'art. 433 CPP pour l'intégralité de la procédure dans son mémoire-réponse et conclusions civiles du 27 décembre 2017, soit donc après la clôture des débats de première instance. La question de l'éventuelle péremption de son droit se pose donc, s'agissant de ses frais de défense de première instance. Si la partie plaignante n'a en l'espèce pas, à tort, été formellement interpellée par le juge de première instance, lors de l'audience, sur son droit à déposer de telles prétentions, le mandat de comparution qui lui a été adressé à son domicile mentionnait la teneur de l'art. 433 CPP, ce qui n'était par contre pas le cas de l'avis d'audience destiné à son conseil. La question de savoir si cette seule mention de l'art. 433 CPP dans le mandat susmentionné est suffisante ou non à teneur de la jurisprudence rappelée ci-dessus peut toutefois demeurer ouverte au vu de ce qui suit. Il apparaît en effet que, dans la mesure où seul le prévenu a formé appel, sa situation ne peut être péjorée, en application de l'art. 391 al. 2 CPP ; ce qui serait le cas s'il devait être, au stade de l'appel uniquement, condamné à payer un montant supplémentaire au titre d'indemnité à la partie plaignante pour ses frais de défense en première instance (modification du dispositif). Au vu de ce qui précède, l'intimée est forclose à demander une indemnisation pour lesdits frais de sorte que sa conclusion en ce sens sera rejetée.</w:t>
      </w:r>
    </w:p>
    <w:p>
      <w:r>
        <w:t>- 18/22 - P/6071/2016</w:t>
      </w:r>
    </w:p>
    <w:p>
      <w:r>
        <w:rPr>
          <w:b/>
        </w:rPr>
        <w:t>E. 7.4</w:t>
      </w:r>
    </w:p>
    <w:p>
      <w:r>
        <w:t>Le prévenu ayant été condamné en première et en seconde instance, l'intimée ayant par ailleurs eu gain de cause en appel, une indemnisation lui est due, correspondant à ses frais d'avocat pour la procédure d'appel. En l'espèce, les 4h10 d'activité à compter du jugement de première instance paraissent nécessaires et adéquats pour la défense raisonnable de l'intimée et le tarif horaire de 450.-, se situant dans le tarif usuel du barreau du canton de Genève pour un associé, sera retenu. L'appelant sera ainsi condamné à indemniser la partie plaignante pour les honoraires de son conseil, à hauteur de CHF 2'025.-, correspondant à 4h10 d'activité, au taux horaire de CHF 450.- (CHF 1'875.-), plus TVA à 8% (CHF 150.-), non assortis d'intérêts conformément la jurisprudence susmentionnée.</w:t>
      </w:r>
    </w:p>
    <w:p>
      <w:r>
        <w:rPr>
          <w:b/>
        </w:rPr>
        <w:t>E. 8.1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8.2.1.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L'art. 16 let. b RAJ prescrit que l'indemnité, en matière pénale, est calculée, pour un collaborateur, selon le tarif horaire de CHF 125.-, débours de l'étude inclus.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8.2.2. Selon la pratique de la CPAR,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w:t>
      </w:r>
    </w:p>
    <w:p>
      <w:r>
        <w:t>- 19/22 - P/6071/2016 de courriers ou notes, les entretiens téléphoniques et la lecture de communications, pièces et décisions. Des exceptions demeurent possibles, charge à l'avocat de justifier l'ampleur d'opérations dont la couverture ne serait pas assurée par le forfait.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l'annonce d'appel (AARP/184/2016 du 28 avril 2016 consid. 5.2.3.2 et 5.3.1 ; AARP/149/2016 du 20 avril 2016 consid. 5.3 et 5.4 ; AARP/146/2013 du 4 avril 2013), la déclaration d'appel (ordonnance de la Cour des plaintes du Tribunal pénal fédéral BB.2014.51 du 21 novembre 2014 consid. 2.1 ; décisions de la Cour des plaintes du Tribunal pénal fédéral BB.2013.165 du 24 janvier 2014 consid. 4.1.3 et BB.2013.127 du 4 décembre 2013 consid. 4.2), de brèves observations ou déterminations, comme la prise de position sur le type de procédure à la CPAR (AARP/157/2016 du 14 avril 2016 consid. 5.2.3.2 et 5.3). Les écritures plus amplement motivées, comme le mémoire d'appel,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(AARP/204/2016 du 9 mai 2016 consid. 7.3 et AARP/109/2016 du 17 mars 2016 consid. 8.2.4 et 8.3.1). L'établissement d'un bordereau de pièces ne donne en principe pas non plus lieu à indemnisation hors forfait, la sélection des pièces à produire faisant partie des activités diverses que le forfait tend à couvrir et le travail de secrétariat relevant des frais généraux (AARP/164/2016 du 14 avril 2016 consid. 6.3 ; AARP/102/2016 du 17 mars 2016 ; AARP/300/2015 du 16 juillet 2015).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(AARP/425/2013 du</w:t>
      </w:r>
    </w:p>
    <w:p>
      <w:r>
        <w:rPr>
          <w:b/>
        </w:rPr>
        <w:t>E. 12</w:t>
      </w:r>
    </w:p>
    <w:p>
      <w:r>
        <w:t>septembre 2013 ; AARP/184/2016 du 28 avril 2016 consid. 5.3.1, AARP/158/2016 du 22 avril 2016 consid. 6.3 et AARP/525/2015 du 14 décembre 2015 consid. 7.2.2), contrairement au cas où un examen plus poussé s'imposait, notamment aux fins de déterminer l'opportunité d'un recours au plan cantonal (AARP/184/2016 du 28 avril 2016 consid. 5.3.1 et AARP/158/2016 du 22 avril 2016 consid. 6.3).</w:t>
      </w:r>
    </w:p>
    <w:p>
      <w:r>
        <w:t>- 20/22 - P/6071/2016 8.2.3. En l'occurrence, il convient de retrancher les prestations couvertes par la majoration forfaitaire et consistant en la rédaction des courriers à la CPAR, dont l'annonce, la déclaration d'appel et le consentement à la procédure écrite. Sera en plus retranchée 1h30 pour la confection d'un bordereau de pièces, dont certaines déjà présentes à la procédure, et la rédaction de l'appel motivé, les 6h restantes étant en adéquation avec la nature, l'importance et la difficulté de la cause. 8.2.4. L'indemnité de Me Nathalie TORRENT sera ainsi arrêtée à CHF 1'350.- correspondant à 9h d'activité au tarif de CHF 125.-/heure (CHF 1'125.-) plus la majoration forfaitaire de 20 % (CHF 225.-), sans TVA vu son statut de collaboratrice. * * * * *</w:t>
      </w:r>
    </w:p>
    <w:p>
      <w:r>
        <w:t>- 21/22 - P/6071/2016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