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AARP/389/2020 vom 18. November 2020</w:t>
      </w:r>
    </w:p>
    <w:p>
      <w:r>
        <w:t>GE Cour de justice, 2020-11-18, FR</w:t>
      </w:r>
    </w:p>
    <w:p>
      <w:r>
        <w:rPr>
          <w:b/>
        </w:rPr>
        <w:t xml:space="preserve">Quelle: </w:t>
      </w:r>
      <w:r>
        <w:t>https://mcp.opencaselaw.ch/entscheid/ge_gerichte_AARP_389_2020</w:t>
      </w:r>
    </w:p>
    <w:p>
      <w:r>
        <w:t>FR: GE_GERICHTE AARP/389/2020 du 18 novembre 2020</w:t>
      </w:r>
    </w:p>
    <w:p>
      <w:r>
        <w:t>IT: GE_GERICHTE AARP/389/2020 del 18 novembre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10 al. 2 CPP, le tribunal apprécie librement les preuves recueillies selon l'intime conviction qu'il retire de l'ensemble de la procédure. Confronté à des versions contradictoires, le juge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w:t>
      </w:r>
    </w:p>
    <w:p>
      <w:r>
        <w:rPr>
          <w:b/>
        </w:rPr>
        <w:t>E. 2.2</w:t>
      </w:r>
    </w:p>
    <w:p>
      <w:r>
        <w:t>Aux termes de l'art. 183 ch. 1 CP, est punissable celui qui, sans droit, aura arrêté une personne, l'aura retenue prisonnière, ou l'aura, de toute autre manière, privée de sa liberté (al. 1) ou qui, en usant de violence, de ruse ou de menace, aura enlevé une personne (al. 2).</w:t>
      </w:r>
    </w:p>
    <w:p>
      <w:r>
        <w:t>- 16/36 - P/10656/2018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 et les références citées). L'infraction est intentionnelle, le dol éventuel suffit.</w:t>
      </w:r>
    </w:p>
    <w:p>
      <w:r>
        <w:rPr>
          <w:b/>
        </w:rPr>
        <w:t>E. 2.3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rPr>
          <w:b/>
        </w:rPr>
        <w:t>E. 2.4</w:t>
      </w:r>
    </w:p>
    <w:p>
      <w:r>
        <w:t>L'art. 180 al. 1 CP sanctionne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L'exigence d'une menace grave doit conduire à exclure la punissabilité lorsque le préjudice évoqué apparaît objectivement d'une importance trop limitée pour justifier la répression pénale. Les menaces de lésions corporelles graves ou de mort doivent être considérées comme des menaces graves au sens de l'art. 180 CP (arrêts du Tribunal fédéral 6B_787/2018 du 1er octobre 2018 consid. 3.1 ; 6B_1428/2016 du 3 octobre 2017 consid. 2.1 et la référence). En second lieu, il faut que la victime ait été effectivement alarmée ou effrayée. Elle doit craindre que le préjudice annoncé se réalise. L'infraction est intentionnelle, le dol éventuel étant suffisant (arrêt du Tribunal fédéral 6B_578/2016 du 19 août 2016 consid. 2.1).</w:t>
      </w:r>
    </w:p>
    <w:p>
      <w:r>
        <w:t>- 17/36 - P/10656/2018 2.5.1. Aux termes de l'art. 190 al. 1 CP, se rend coupable de viol celui qui, notamment en usant de menace ou de violence,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 ATF 77 IV 169 consid. 1). L'art. 190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(arrêts du Tribunal fédéral 6B_710/2012 du 3 avril 2013 consid. 3.1 ; 6B_311/2011 du 19 juillet 2011 consid. 5.2). Pour qu'il y ait contrainte en matière sexuelle, il faut que la victime ne soit pas consentante, que l'auteur le sache ou accepte cette éventualité et qu'il passe outre en profitant de la situation ou en employant un moyen efficace à cette fin (ATF 122 IV 97 consid. 2b), notamment en usant de violence ou en exerçant des pressions psychiques (ATF 131 IV 167 consid. 3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6B_493/2016 du 27 avril 2017 consid. 2.2.1 et les références citées). (ATF 122 IV 97 consid. 2b ; arrêt du Tribunal fédéral 6B_502/2017 du 16 avril 2008 consid. 1.1.1). 2.5.2.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w:t>
      </w:r>
    </w:p>
    <w:p>
      <w:r>
        <w:t>- 18/36 - P/10656/2018 2.5.3. La tentative suppose que l'auteur réalise tous les éléments subjectifs de l'infraction et qu'il manifeste sa décision de la commettre, mais sans en réaliser tous les éléments objectifs (ATF 120 IV 199 consid. 3e). 2.5.3.1.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 ATF 119 IV 224 consid. 2 [viol] ; arrêt du Tribunal fédéral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entre les actes préparatoires et la tentative se détermine sans égard au caractère de l'auteur ou à ses antécédents (ATF 131 IV 100 consid. 7.2.1 ; arrêt du Tribunal fédéral 6B_1122/2018 du 29 janvier 2019 consid. 5.1 et les références citées). En cas de viol, le seuil de la tentative est notamment dépassé lorsque l'auteur fait usage de la violence, élément constitutif objectif. Si l'auteur sait que la femme n'est pas d'accord de commettre l'acte sexuel avec lui et qu'il est décidé à l'obtenir de force, il effectue la démarche ultime et décisive vers l'accomplissement de l'infraction en utilisant la violence. Le fait que l'auteur n'ait pas (encore) dénudé sa victime ne signifie donc pas que le seuil de la tentative n'est pas déjà dépassé (ATF 99 IV 151 consid. 1). 2.5.3.2. Aux termes de la jurisprudence, la tentative de viol a été notamment retenue dans les cas suivants :</w:t>
      </w:r>
    </w:p>
    <w:p>
      <w:r>
        <w:t>l'auteur qui tente de force de baisser le pantalon de sa victime, après avoir baissé son propre pantalon et caleçon. La victime s'étant défendue, il y est partiellement parvenu. Les juges ont considéré que le comportement du prévenu avait eu pour objectif de briser la résistance de sa victime et qu'il avait clairement eu recours à la violence pour ce faire (arrêt du Tribunal fédéral 6S.239/2000 du 30 août 2000 consid. 2c) ;</w:t>
      </w:r>
    </w:p>
    <w:p>
      <w:r>
        <w:t>- 19/36 - P/10656/2018</w:t>
      </w:r>
    </w:p>
    <w:p>
      <w:r>
        <w:t>l'auteur qui enferme sa victime dans l'intention d'abuser d'elle et passe au stade des menaces directes, lui déclarant qu'il peut la frapper, voire la violer, et devenant de plus en plus excité et agressif (ATF 119 IV 224 consid. 2) ;</w:t>
      </w:r>
    </w:p>
    <w:p>
      <w:r>
        <w:t>l'auteur qui use de la violence pour attirer de force sa victime dans la voiture, l'y couche et s'étend sur elle ; les actions de mener sa victime sur une route secondaire et contre la volonté de celle-ci, soit les actes avant d'employer la violence sont des actes préparatoires (ATF 99 IV 151 consid. 1) ;</w:t>
      </w:r>
    </w:p>
    <w:p>
      <w:r>
        <w:t>l'auteur qui enlève de force le pantalon et la culotte de sa victime, l'assied sur une table et essaie de la pénétrer. L'intensité de la force physique était relativement faible, mais elle était renforcée par l'attitude menaçante de l'auteur et le fait qu'ils se trouvaient seuls dans une cabane (arrêt du Tribunal fédéral 6B_493/2016 du 27 avril 2017). 2.6.1. Chefs d'accusation B.III et B.IV</w:t>
      </w:r>
    </w:p>
    <w:p>
      <w:r>
        <w:t>2.6.1.1. A titre préalable, il est relevé que – contrairement à ce que prétend l'appelant – les circonstances entourant le dépôt de plainte de l'intimée D______, le lendemain de l'incident impliquant son père, démontrent que celle-ci a franchi le pas de la dénonciation du comportement violent de son ex-compagnon lorsque celui-ci s'en est pris non plus seulement à elle, mais aussi à son entourage. Elle avait d'ailleurs déjà pris cette direction quelques jours auparavant par le dépôt d'une main-courante contre le prévenu, étayée par un constat médical. Du reste, au cours de l'instruction, le prévenu lui-même a indiqué avoir de moins en moins rendu visite à son fils pour des questions de santé, sans lien avec l'intimée D______, et que celle-ci l'avait toujours soutenu. 2.6.1.2. Le prévenu et l’intimée D______ ont raconté un déroulement des faits quasiment identique de leur rencontre le 28 décembre 2017 (porte verrouillée, couteau en évidence, menace de suicide, objet de la discussion). Ils diffèrent sur la présence des clés dans la serrure et sur le fait que l’intimée D______ ait ou non pleuré dans les bras de l’appelant. Or, nul besoin de trancher ces deux éléments pour retenir un verdict de culpabilité de séquestration. La présence du couteau et la menace explicite de s’en servir, à tout le moins contre lui-même, est déjà suffisante pour réaliser l'élément constitutif de la contrainte au moyen d'une menace exigé par l’art. 183 CP.</w:t>
      </w:r>
    </w:p>
    <w:p>
      <w:r>
        <w:t>En verrouillant la porte d’entrée et en disposant en vue un couteau dont il a menacé de faire usage, le prévenu a privé l’intimée D______ de sa liberté de déplacement. En effet, à teneur de la jurisprudence rappelée ci-dessus, il est suffisant que la personne soit placée dans des conditions telles qu’elle se sente dans l’impossibilité de s’en aller. Son ex-compagne a expressément déclaré, sans que l’on puisse douter</w:t>
      </w:r>
    </w:p>
    <w:p>
      <w:r>
        <w:t>- 20/36 - P/10656/2018 de sa crédibilité, qu’elle avait eu peur à la vue du couteau, peur que le prévenu a lui- même constatée. Ce n’était pas la première fois qu’il menaçait de se suicider. Il avait déjà fait des tentatives – récentes –, notamment par voie médicamenteuse. Elle le savait psychologiquement fragile au moment des faits puisqu’il sortait d’un séjour à la Clinique J______ et lui avait demandé de l'y ramener. Elle était encore à cette époque un soutien pour lui, comme il l’a lui-même déclaré, et se sentait très vraisemblablement dans l’obligation de lui venir en aide, étant rappelé qu'il était le père de son fils, qu'il l’avait suivie en Suisse pour fonder une famille mais n’avait pas réussi à s’y intégrer, à se construire une situation. Dans ces circonstances, l'appelant a placé l’intimée D______ dans l’impossibilité de quitter les lieux, craignant qu’il ne s’exécute ou pire que cette fois-ci il ne s’en prenne à elle, et que son fils perde l'un de ses parents. Pour toutes ces raisons, la menace orale de suicide, accompagnée de la présentation d’un couteau, ont définitivement empêché l’intimée D______ de quitter les lieux, avant de s'être assurée de l'avoir dissuadé de tout passage à l’acte. Il est aussi hautement crédible qu’elle ait eu peur pour sa propre vie. Selon elle, il lui a clairement déclaré que le couteau ne lui était pas destiné « si elle se tenait tranquille ». La discussion a duré une heure, jusqu’à ce que le prévenu revienne à la raison et accepte de repousser son retour à la Clinique J______ au lendemain. A partir de là, il a déverrouillé la porte et permis à son ex-compagne de rentrer chez elle.</w:t>
      </w:r>
    </w:p>
    <w:p>
      <w:r>
        <w:t>En tout état, il sera retenu que l’appelant a verrouillé la porte et placé les clés dans sa poche. Il a en effet admis que l’objectif de l’amener dans son appartement était d’avoir une discussion avec l’intimée D______, de sorte qu'il voulait de toute évidence l’empêcher de s’y soustraire en quittant les lieux. Il avait d'ailleurs dû longuement insister pour la convaincre de monter dans son logement. Il aurait été étonnant qu’il laisse ensuite les clés sur la porte. L’intimée D______ a de manière constante indiqué que la clé ne se trouvait plus dans la serrure.</w:t>
      </w:r>
    </w:p>
    <w:p>
      <w:r>
        <w:t>Partant, le prévenu a intentionnellement séquestré l’intimée D______, réalisant les éléments constitutifs objectifs et subjectifs de l’art. 183 CP.</w:t>
      </w:r>
    </w:p>
    <w:p>
      <w:r>
        <w:t>L'appelant ne saurait être suivi lorsqu'il invoque une erreur sur les faits (art. 13 CP). Il ne conteste pas avoir posé en évidence un couteau de cuisine et déclaré qu'il en ferait usage si la plaignante ne satisfaisait pas ses requêtes. De même, il a admis avoir constaté que l'intimée D______ avait été effrayée à la vue de ce couteau.</w:t>
      </w:r>
    </w:p>
    <w:p>
      <w:r>
        <w:t>2.6.1.3. Le 26 mai 2018, le prévenu a bien asséné volontairement un « coup de tête » à l’intimée D______. Aucun élément au dossier ne permet d’écarter le témoignage de K______, laquelle a confirmé avoir vu l’appelant frapper de sa tête celle de son ex- compagne. Cette dernière a été constante dans ses déclarations tout au long de la procédure. Le prévenu a finalement reconnu lui avoir causé un hématome.</w:t>
      </w:r>
    </w:p>
    <w:p>
      <w:r>
        <w:t>- 21/36 - P/10656/2018 L’appelant n'est pas crédible lorsqu’il affirme que le coup était involontaire et provoqué par l’intimée D______, laquelle aurait prétendument cherché à appuyer sa tête contre la sienne. En effet, ce jour-là, il est établi que le prévenu a initié la dispute, mécontent de la coupe de cheveux de leur fils. Les deux adultes n’étaient plus en couple et un contact physique voulu par l'intimée D______ paraîtrait très inhabituel en pleine dispute après que celle-ci avait déjà été atteinte physiquement par son ex-compagnon puisqu’elle avait été poussée sur le lit de la chambre, voire saisie à la gorge.</w:t>
      </w:r>
    </w:p>
    <w:p>
      <w:r>
        <w:t>Au vu de ce qui précède, le coup de tête a été porté intentionnellement par le prévenu à l’intimée D______ et lui a occasionné un hématome de 4 cm2, constaté par un médecin le lendemain des faits. Ces faits sont constitutifs de lésions corporelles simples (art. 123 CP). Conformément à la jurisprudence, un coup porté au visage, suffisamment fort pour provoquer la rupture d’un vaisseau sanguin, soit un hématome, cause une lésion du corps humain.</w:t>
      </w:r>
    </w:p>
    <w:p>
      <w:r>
        <w:t>Le jugement entrepris sera entièrement confirmé à cet égard. 2.6.2. Chef d'accusation B.V Le geste, adressé à un tiers, de passer son doigt sous sa gorge est une menace de mort, puisqu’il simule l’exécution de la personne par égorgement. Une telle menace est objectivement de nature à effrayer la victime. Dans le contexte d’une situation tendue entre sa fille et son ex-compagnon, lequel s’était déjà montré violent physiquement envers elle, il paraît hautement vraisemblable que l’intimé D______ ait pu être effrayé par ce geste, d'autant plus qu'il a été précédé de mots – l’appelant ayant admis avoir insulté l’intimé D______. Au surplus, rien au dossier ne permet de conclure que H______ aurait réellement tenu des propos racistes à son petit-fils et aurait cherché à le séparer de son père. L’appelant a agi intentionnellement et réalisé ainsi l’ensemble des éléments constitutifs de l’infraction de menace (art. 180 CP). Le jugement entrepris sera intégralement confirmé sur ce point. 2.6.3. Chef d'accusation B.VI</w:t>
      </w:r>
    </w:p>
    <w:p>
      <w:r>
        <w:t>En saisissant l'intimée F______ par derrière et en la maintenant contre son gré tout en serrant fortement ses bras, pendant un temps suffisant pour qu'elle exprime à trois reprises son refus d'entretenir une relation sexuelle avec lui et qu'il lui rétorque que lui la souhaitait, puis en la soulevant et jetant sur le canapé, le prévenu a fait usage de violence et entravé l'intimée F______ dans sa liberté d'action. La violence physique</w:t>
      </w:r>
    </w:p>
    <w:p>
      <w:r>
        <w:t>- 22/36 - P/10656/2018 exercée a atteint un degré certain de gravité puisque les hématomes sur les bras de l'intimée F______ étaient toujours visibles plusieurs jours après les faits. La violence a été utilisée dans l'intention clairement énoncée d’entretenir une relation sexuelle avec la plaignante, malgré ses refus, et donc de l'y contraindre. Conformément à la jurisprudence du Tribunal fédéral rappelée ci-dessus, il n'est pas nécessaire que l'auteur ait dénudé sa victime pour avoir déjà effectué la démarche ultime et décisive vers l'accomplissement de la tentative de viol. Ici, il a entrepris cette dernière étape au moment où, face aux refus de la plaignante F______, il l'a jetée sur le canapé. Il n'a alors été arrêté dans son élan que par la menace d'une dénonciation. Que le sexe de l'appelant ait ou non été en érection lorsqu'il a tenue l'intimée contre lui est sans incidence au vu des éléments qui précèdent. Il en va de même du fait que la scène se soit déroulée rapidement. Il est rappelé aussi que A______ est coutumier du modus operandi de jeter ou renverser au sol, sur un canapé ou un matelas une femme dans l'intention de la violer (cf. faits retenus dans l'arrêt de la Cour de céans AARP/299/2018). Partant, les faits retenus sont constitutifs d'une tentative de viol au sens des art. 22 cum 190 CP. Le jugement entrepris sera entièrement confirmé sur ce point.</w:t>
      </w:r>
    </w:p>
    <w:p>
      <w:r>
        <w:rPr>
          <w:b/>
        </w:rPr>
        <w:t>E. 3.1</w:t>
      </w:r>
    </w:p>
    <w:p>
      <w:r>
        <w:t>Le viol est sanctionné d’une peine privative de liberté d'un à dix ans (art. 190 al. 1 CP). La séquestration est punie d’une peine privative de liberté de cinq ans au plus ou d’une peine pécuniaire (art. 183 ch. 1 CP). L’infraction de menace et les lésions corporelles simples sont passibles d’une peine privative de liberté de trois ans au plus ou d’une peine pécuniaire (art. 123 ch. 1 et 2 CP et art. 180 CP). La tentative peut avoir des effets atténuants sur la peine (art. 22 CP ; cf. infra consid. 3.6.)</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- 23/36 - P/10656/2018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3.4</w:t>
      </w:r>
    </w:p>
    <w:p>
      <w:r>
        <w:t>La détermination du nombre de jours-amende est fonction de la culpabilité de l'auteur (art. 34 al. 1 1ère phrase CP).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rPr>
          <w:b/>
        </w:rPr>
        <w:t>E. 3.5</w:t>
      </w:r>
    </w:p>
    <w:p>
      <w:r>
        <w:t>Selon l'art. 34 al. 2 2ème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rPr>
          <w:b/>
        </w:rPr>
        <w:t>E. 3.6</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t>- 24/36 - P/10656/2018</w:t>
      </w:r>
    </w:p>
    <w:p>
      <w:r>
        <w:rPr>
          <w:b/>
        </w:rPr>
        <w:t>E. 3.7</w:t>
      </w:r>
    </w:p>
    <w:p>
      <w:r>
        <w:t>En l’espèce, la faute de l’appelant est grave. Il s’est attaqué à l'intégrité sexuelle, à l’intégrité physique et à la liberté de proches (son ex-compagne, son ex-beau-père, une amie). Il n’a pas hésité à recourir à la force physique pour assoir sa domination à l’encontre des deux femmes, faisant fi des répercussions sérieuses que de tels actes pouvaient avoir sur leur état psychologique. L’intimée F______ présente toujours des séquelles.</w:t>
      </w:r>
    </w:p>
    <w:p>
      <w:r>
        <w:t>Les mobiles des quatre événements apparaissent égoïstes et futiles. L'appelant a agi vis-à-vis de son ex-compagne dans le seul but d’assouvir son besoin de domination et d’emprise qu’il souhaitait maintenir après leur séparation, trouvant un prétexte pour initier une discussion/dispute comme la coupe de cheveux de son fils ou le nouveau compagnon de l’intimée D______. Pour s’assurer l’attention de celle-ci, il a également fait usage de chantage au suicide, voire de menace à l'égard de la plaignante, la plaçant dans la crainte qu’il ne passe à l’acte.</w:t>
      </w:r>
    </w:p>
    <w:p>
      <w:r>
        <w:t>Il s’en est pris au père de son ex-compagne, le menaçant de mort, par colère, n’ayant pas obtenu ce qu’il voulait et considérant l’intimé D______ comme un obstacle dans sa relation avec son fils, ce que rien à la procédure ne confirme.</w:t>
      </w:r>
    </w:p>
    <w:p>
      <w:r>
        <w:t>Il a choisi de s’en prendre à l’intégrité sexuelle de l’intimée F______, avec une indifférence complète pour sa santé, son bien-être et sa liberté, dans l'objectif de satisfaire ses pulsions, alors qu’elle lui faisait confiance. Sa situation personnelle n’explique nullement ses actes, d’autant moins qu’il se présente comme un pilier dans l’éducation de son fils. La collaboration du prévenu est mauvaise dans la mesure où il n’a eu de cesse de contester les faits qui lui sont reprochés, encore en appel, malgré les preuves et les témoignages qui l’accablent. Il n’a montré aucun remords, rejetant la faute sur ses victimes, dont il s’est évertué à dénigrer la réputation. Le prévenu a agi avec une responsabilité très légèrement restreinte. Au moment des faits, il présentait un trouble mixte de la personnalité avec des traits émotionnellement labiles et psychopathiques, ainsi qu’une utilisation nocive pour la santé d’alcool et de cocaïne. Les faits commis au préjudice de l’intimée F______ sont demeurés au stade de la tentative. Cependant, au vu en particulier des conséquences effectives de ses actes, notamment sur l’équilibre psychologique de l’intimée F______, et du fait qu’il ne s’est pas interrompu de son propre chef mais sous la menace d’une dénonciation pénale, la peine sera faiblement atténuée.</w:t>
      </w:r>
    </w:p>
    <w:p>
      <w:r>
        <w:t>- 25/36 - P/10656/2018 Lors des quatre événements objets de la présente procédure, l’appelant était prévenu pour viol et tentative de viol, faits pour lesquels il a été condamné à une peine privative de liberté de quatre ans. La procédure pénale dirigée contre lui ne l’a nullement dissuadé de réitérer ses agissements coupables, en particulier de s'en prendre physiquement et sexuellement à d'autres femmes. Le prononcé d’une peine privative de liberté s’impose pour la séquestration au vu de la gravité des faits (chantage au suicide, présentation d’un couteau et menace expresse d’en faire usage en cas de départ de l’intimée D______ ou de refus de cesser toute relation avec son nouveau compagnon) et de l’absence complète de prise de conscience du prévenu. Partant, il convient de prononcer une peine d’ensemble hypothétique tenant compte de la sanction prononcée par la CPAR le 27 septembre 2018 entrant en concours réel rétrospectif avec la présente sanction (art. 49 al. 2 CP). Il y a en outre concours entre les infractions de séquestration et de tentative de viol, ce qui justifie de prononcer une peine privative de liberté aggravée. Les actes abstraitement les plus graves sont ceux qualifiés de tentative de viol. En tenant compte du concours réel rétrospectif avec la décision du 27 septembre 2018 condamnant l'appelant à une peine privative de liberté de quatre ans, la CPAR juge appropriée une peine privative de liberté d'un an. A ces cinq ans (quatre plus un) s’ajouteront six mois en lien avec l’infraction de séquestration, d’où une peine privative de liberté globale hypothétique de cinq ans et demi. Aussi, la peine privative de liberté complémentaire prononcée par le TCO de 18 mois est appropriée et sera confirmée. Les infractions de lésions corporelles simples et de menaces seront sanctionnées d’une peine pécuniaire. Elles entrent en concours. La quotité fixée par le TCO à 120 jours-amende est adéquate au vu des éléments précités (60 jours-amende pour chacune), de même que le montant du jour-amende arrêté à CHF 30.-. Aucun sursis ne sera accordé au prévenu, lequel a déjà été condamné pour s'en être pris à l'intégrité physique d'autrui. Il présente de toute évidence un risque de commettre de nouvelles infractions violentes, selon l’expertise psychiatrique. Le pronostic est donc défavorable. Au surplus, conformément à la jurisprudence, mesure et sursis sont incompatibles puisque la mesure suppose l’existence d’un risque de récidive (ATF 135 IV 180 consid. 2.3). Le jugement entrepris sera entièrement confirmé à cet égard.</w:t>
      </w:r>
    </w:p>
    <w:p>
      <w:r>
        <w:rPr>
          <w:b/>
        </w:rPr>
        <w:t>E. 4</w:t>
      </w:r>
    </w:p>
    <w:p>
      <w:r>
        <w:t>La mesure prononcée par les premiers juges à l'encontre du prévenu consistant en un traitement psychiatrique en suivi ambulatoire, intégrant la dimension addictive du</w:t>
      </w:r>
    </w:p>
    <w:p>
      <w:r>
        <w:t>- 26/36 - P/10656/2018 trouble de l’appelant, est également confirmée (art. 63 CP). Le traitement a pour objectif que le prévenu travaille sur la prise de conscience de son fonctionnement psychique. Selon l'expert, un risque de rupture de soins existe, ce qui commande son prononcé contre la volonté de l'appelant. La CPAR a pris note du rapport du service de médecine pénitentiaire produit en appel, à teneur duquel l'alliance thérapeutique est bonne et suivie depuis le début de son incarcération. Cela n'infirme en rien la nécessité d'un cadre imposé et, au vu de la gravité des faits reprochés, des antécédents de violence, du risque de récidive considéré comme moyen à élevé, il apparaît nécessaire d'éviter toute rupture de soin.</w:t>
      </w:r>
    </w:p>
    <w:p>
      <w:r>
        <w:t>L’exécution de la peine privative de liberté est compatible avec une telle mesure.</w:t>
      </w:r>
    </w:p>
    <w:p>
      <w:r>
        <w:rPr>
          <w:b/>
        </w:rPr>
        <w:t>E. 4.1</w:t>
      </w:r>
    </w:p>
    <w:p>
      <w:r>
        <w:t>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5.1</w:t>
      </w:r>
    </w:p>
    <w:p>
      <w:r>
        <w:t>Conformément à l'art. 66a al. 1 let. g et h CP, le juge expulse un étranger du territoire suisse pour une durée de cinq à quinze ans s'il est reconnu coupable de séquestration ou de viol (art. 190 CP), quelle que soit la quotité de la peine prononcée à son encontre. L'art. 66a al. 1 CP s'applique également à la tentative de commettre une infraction énumérée dans le catalogue (ATF 144 IV 168 consid. 1.4.2).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5.2.1. La loi ne définit pas ce qu'il faut entendre par une "situation personnelle grave" (première condition cumulative) ni n'indique les critères à prendre en compte dans la pesée des intérêts (seconde condition cumulative). En recourant à la notion de cas de rigueur à l'art. 66a al. 2 CP, le législateur a fait usage d'un concept ancré depuis longtemps dans le droit des étrangers (cf. art. 30 al. 1 let. b ou 50 al. 1 let. b et 84 al. 5 LEI, ainsi que l'art. 14 de la loi sur l'asile [LAsi]). Compte tenu également du lien étroit entre l'expulsion pénale et les mesures du droit des étrangers, il est justifié de s'inspirer, de manière générale, des critères prévus par l'art. 31 al. 1 de</w:t>
      </w:r>
    </w:p>
    <w:p>
      <w:r>
        <w:t>- 27/36 - P/10656/2018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5.2.2.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du 18 avril 1999 [Cst.]) et par le droit international, en particulier l'art. 8 de la Convention de sauvegarde des droits de l'homme et des libertés fondamentales du 4 novembre 1950 (CEDH ; arrêt du Tribunal fédéral 6B_1192/2018 du 23 janvier 2019 consid. 2.1.2 et références citées). 5.2.3. L'étranger qui se trouve sous le coup d'un arrêté d'expulsion ne peut en principe revendiquer un droit à rester sur le territoire d'un État afin de continuer à bénéficier de l'assistance et des services médicaux, sociaux ou autres fournis par l'État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5.2.4. Pour se prévaloir du respect au droit de sa vie privée au sens de l'art. 8 § 1 CEDH,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le pays. Il procède bien plutôt à une pesée des intérêts en présence, en considérant la durée du séjour comme un élément parmi d'autres et en n'accordant qu'un faible poids aux années passées en Suisse dans l'illégalité, en prison ou au bénéfice d'une</w:t>
      </w:r>
    </w:p>
    <w:p>
      <w:r>
        <w:t>- 28/36 - P/10656/2018 simple tolérance (ATF 134 II 10 consid. 4.3 ; arrêts 6B_143/2019 du 6 mars 2019, consid. 3.3.2 et 6B_1329/2018 du 14 février 2019 consid. 2.3.2.). 5.2.5.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 1 consid. 6.1). La présence d'une famille en Suisse, soit d'une épouse/concubine et d'un enfant, ne peut, à elle seule, commander l'application automatique de la clause de rigueur (arrêt du Tribunal fédéral 6B_143/2019 du 6 mars 2019 consid. 3.4.2).</w:t>
      </w:r>
    </w:p>
    <w:p>
      <w:r>
        <w:rPr>
          <w:b/>
        </w:rPr>
        <w:t>E. 5.3</w:t>
      </w:r>
    </w:p>
    <w:p>
      <w:r>
        <w:t>En l'espèce, l'appelant conteste le prononcé de son expulsion en se prévalant exclusivement de sa relation avec son fils. Depuis son arrivée en Suisse en 2011, l'appelant n’a pas développé de réseau social ou professionnel. Son intégration peut être considérée comme inexistante, alors qu’il a passé plus de huit ans à Genève avant son incarcération. Il n’a pas trouvé d’emploi, si bien qu'après s'être séparé de sa compagne, il était entièrement soutenu par l’Hospice général. Il a une relation suivie avec son fils qu’il qualifie de « fusionnelle ». Selon le rapport médical produit par l’appelant, il souffre d’un diabète de type 2, actuellement stable, pour lequel il est pris en charge régulièrement à titre préventif. Il est suivi sur le plan psychologique. L’appelant a déclaré au cours de la procédure avoir eu une situation professionnelle et financière florissante au Maroc avant son départ pour la Suisse. Ses parents, ainsi que sa sœur et son frère, y vivent toujours. Il y est retourné à plusieurs reprises depuis son arrivée en Suisse. Selon lui, le Maroc dispose de toute l’infrastructure nécessaire pour le soigner. Partant, la seule présence de son fils sur sol helvétique ne suffit pas pour l’emporter sur l’intérêt public à son expulsion, l'appelant s’étant rendu coupable d’infractions sérieuses contre l’intégrité sexuelle et physique ainsi que contre la liberté. Il ne saurait se prévaloir du respect au droit de sa vie privée au sens de l’art. 8 CEDH en l’absence d’une quelconque intégration en Suisse, étant rappelé que la présence d’un enfant mineur ne suffit pas à elle seule à faire prévaloir l'intérêt privé à demeurer en Suisse (arrêt du Tribunal fédéral 6B_143/2019 du 6 mars 2019 consid. 3.4.2), et que la relation pourra être maintenue, lors de vacances de l'enfant hors de Suisse, ainsi que grâce aux moyens de communication d'aujourd'hui. Au vu de l'ensemble de ces éléments, l'appelant ne se trouve pas dans une situation personnelle grave et les intérêts publics à l'expulsion, compte tenu des infractions</w:t>
      </w:r>
    </w:p>
    <w:p>
      <w:r>
        <w:t>- 29/36 - P/10656/2018 commises, l'emportent clairement sur l'intérêt privé de celui-ci à demeurer en Suisse. Au vu de sa bonne situation (financière, professionnelle et psychologique) au Maroc, avant son arrivée en Suisse, tout porte à penser que sa réintégration dans son Etat d’origine est possible. En l'absence de réalisation des conditions de la clause de rigueur, aucun examen de la proportionnalité n'est nécessaire. La durée de cinq ans articulée en première instance apparaît comme proportionnée aux circonstances du cas d'espèce. Infondé, l'appel doit être rejeté sur ce point et l'expulsion de l'appelant pour une durée de cinq ans confirmée. Il n'y a pas lieu d'étendre la mesure d'expulsion prononcée à l'ensemble de l'espace Schengen, l'expulsion du territoire suisse suffisant à atteindre le but recherché.</w:t>
      </w:r>
    </w:p>
    <w:p>
      <w:r>
        <w:rPr>
          <w:b/>
        </w:rPr>
        <w:t>E. 6</w:t>
      </w:r>
    </w:p>
    <w:p>
      <w:r>
        <w:t>6.1.1. Selon l'art. 122 CPP, en qualité de partie plaignante, le lésé peut faire valoir des conclusions civiles déduites de l'infraction par adhésion à la procédure pénale (al. 1), les mêmes droits appartenant aux proches de la victime, dans la mesure où ils font valoir contre le prévenu des conclusions civiles propres (al. 2).</w:t>
      </w:r>
    </w:p>
    <w:p>
      <w:r>
        <w:t>6.1.2. Les conclusions civiles consistent principalement en des prétentions en dommages-intérêts (art. 41 ss de la loi fédérale complétant le Code civil suisse [CO]) et en réparation du tort moral (art. 47 et 49 CO) dirigées contre le prévenu (A. KUHN / Y. JEANNERET [éd.], Commentaire romand : Code de procédure pénale suisse, 2ème éd., 2019, n. 16 s. ad art. 122).</w:t>
      </w:r>
    </w:p>
    <w:p>
      <w:r>
        <w:t>6.1.3. Selon l'art. 49 al. 1 CO,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L'octroi d'une réparation morale à l'intimée F______ se justifie sur le principe, notamment au vu du rapport médical des HUG du 27 novembre 2019, faisant état de la persistance de souffrances notables en lien avec les faits et la procédure pénale qui s'en est suivie et de plusieurs hospitalisations.</w:t>
      </w:r>
    </w:p>
    <w:p>
      <w:r>
        <w:t>La quotité de CHF 2'000.-, arrêtée par les premiers juges, n'est pas excessive et n'a du reste pas fait l'objet d'une critique spécifique de l'appelant. Elle sera donc confirmée.</w:t>
      </w:r>
    </w:p>
    <w:p>
      <w:r>
        <w:rPr>
          <w:b/>
        </w:rPr>
        <w:t>E. 7</w:t>
      </w:r>
    </w:p>
    <w:p>
      <w:r>
        <w:t>L'appelant, qui succombe, supportera les frais de la procédure envers l'État qui comprennent un émolument de décision de CHF 3’000.- (art. 428 CPP), sans modification de la répartition des frais de première instance, telle qu’elle résulte du</w:t>
      </w:r>
    </w:p>
    <w:p>
      <w:r>
        <w:t>- 30/36 - P/10656/2018 jugement entrepris, au vu de la confirmation de la culpabilité du prévenu dans tous les complexes de faits (art. 428 al. 3 CPP).</w:t>
      </w:r>
    </w:p>
    <w:p>
      <w:r>
        <w:rPr>
          <w:b/>
        </w:rPr>
        <w:t>E. 8.1</w:t>
      </w:r>
    </w:p>
    <w:p>
      <w:r>
        <w:t>Selon l'art. 429 al. 1 let. b CPP, le prévenu acquitté en partie a le droit d'obtenir une indemnité pour le dommage économique subi au titre de sa participation obligatoire à la procédure pénale. De même, il a droit à une réparation du tort moral subi en raison d'une atteinte particulièrement grave à sa personnalité, au sens des art. 28 al. 2 CC ou 49 CO, du fait de la procédure (art. 429 al. 1 let.c CPP).</w:t>
      </w:r>
    </w:p>
    <w:p>
      <w:r>
        <w:rPr>
          <w:b/>
        </w:rPr>
        <w:t>E. 8.2</w:t>
      </w:r>
    </w:p>
    <w:p>
      <w:r>
        <w:t>Malgré son acquittement partiel en première instance (portant sur un unique complexe de faits), une condamnation subsiste d'une gravité certaine, de sorte qu'il peut être retenu que la procédure, si elle avait été d'emblée limitée aux infractions pour lesquelles l'appelant est condamné, n'aurait pas causé une atteinte moindre à ses intérêts économiques ou à son bien-être. Les prétentions de l'appelant à cet égard doivent donc être rejetées.</w:t>
      </w:r>
    </w:p>
    <w:p>
      <w:r>
        <w:rPr>
          <w:b/>
        </w:rPr>
        <w:t>E. 9.1</w:t>
      </w:r>
    </w:p>
    <w:p>
      <w:r>
        <w:t>En appel, la partie plaignante D______ obtient gain de cause de sorte qu'il se justifie de faire droit à sa demande d'indemnisation (art. 433 et 436 CPP). Les honoraires d'avocat doivent être proportionnés (N. SCHMID, Schweizerische Strafprozessordnung : Praxiskommentar, 2ème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de la partie plaignante (M. NIGGLI / M. HEER / H. WIPRÄCHTIGER (éds), Strafprozessordnung – Jugendstrafprozessordnung, Basler Kommentar StPO/JStPO, 2ème éd., Bâle 2014,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350.- pour les collaborateurs (arrêts du Tribunal fédéral 2C_725/2010 du 31 octobre 2011 consid. 3 et 2C_25/2008 du 18 juin 2008 consid. 3, en matière d'assistance juridique, faisant référence aux</w:t>
      </w:r>
    </w:p>
    <w:p>
      <w:r>
        <w:t>- 31/36 - P/10656/2018 tarifs usuels d'un conseil de choix à Genève ; AARP/125/2012 du 30 avril 2012 consid. 4.2 ; ACPR/178/2015 du 23 mars 2015 consid. 2.1).</w:t>
      </w:r>
    </w:p>
    <w:p>
      <w:r>
        <w:rPr>
          <w:b/>
        </w:rPr>
        <w:t>E. 9.2</w:t>
      </w:r>
    </w:p>
    <w:p>
      <w:r>
        <w:t>En l'espèce, 04h00 de conférence avec la cliente, ainsi que 07h00 de rédaction du mémoire de réponse apparaissent suffisantes et seront retenues. Le dossier est bien connu puisque plaidé en première instance et ne présente pas de complexité particulière en appel, la partie plaignante concluant à la confirmation du jugement entrepris. Le tarif horaire du collaborateur sera ramené à CHF 350.-/heure conformément à la jurisprudence rappelée ci-dessus. L'appelant sera dès lors condamné à payer à l'intimée un montant de CHF 4'620.- (11h00 d'activité [CHF 3'850.-] + forfait de 20% [CHF 770.-]) en couverture des dépenses nécessaires de cette dernière durant la procédure d'appel, TVA au taux de 7.7% comprise.</w:t>
      </w:r>
    </w:p>
    <w:p>
      <w:r>
        <w:rPr>
          <w:b/>
        </w:rPr>
        <w:t>E. 9.3</w:t>
      </w:r>
    </w:p>
    <w:p>
      <w:r>
        <w:t>L'indemnisation de l'intimée par le prévenu pour les dépenses de la procédure de première instance lui est acquise et confirmée.</w:t>
      </w:r>
    </w:p>
    <w:p>
      <w:r>
        <w:rPr>
          <w:b/>
        </w:rPr>
        <w:t>E. 10.1</w:t>
      </w:r>
    </w:p>
    <w:p>
      <w:r>
        <w:t>Selon l'art. 135 al. 1 CPP, le défenseur d'office ou le conseil juridique gratuit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10.2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10.3</w:t>
      </w:r>
    </w:p>
    <w:p>
      <w:r>
        <w:t>Les heures vouées par la défenseure d'office de A______ à l'examen de la décision entreprise, à la rédaction de la déclaration d'appel, au suivi du dossier ainsi qu'à la préparation du bordereau de pièces seront retranchées puisque comprises dans le forfait de 10%. Seules 15h00 consacrées à la rédaction du mémoire d'appel/recherches juridiques seront retenues pour la défenseure d'office du prévenu, le dossier étant censé bien connu de l'avocate qui venait de le plaider en première instance.</w:t>
      </w:r>
    </w:p>
    <w:p>
      <w:r>
        <w:t>En conclusion, l'indemnité sera arrêtée à CHF 4'522.30 correspondant à 18h15 d'activité au tarif de CHF 200.-/heure (CHF 3'650.-) et 01h30 à celui de CHF 110.- /heure (CHF 165.-), plus la majoration forfaitaire de 10% (CHF 381.50) et la TVA au taux de 7,7% (CHF 325.80).</w:t>
      </w:r>
    </w:p>
    <w:p>
      <w:r>
        <w:rPr>
          <w:b/>
        </w:rPr>
        <w:t>E. 10.4</w:t>
      </w:r>
    </w:p>
    <w:p>
      <w:r>
        <w:t>Les heures consacrées à l'étude de la procédure pénale par le conseil juridique gratuit de l'intimée F______ seront retranchées puisque comprise dans le forfait et le dossier connu de l'avocate.</w:t>
      </w:r>
    </w:p>
    <w:p>
      <w:r>
        <w:t>Partant, l'indemnité sera arrêtée à CHF 1'910.25 correspondant à 10h45 d'activité au tarif de CHF 150.-/heure (CHF 1'612.50), plus la majoration forfaitaire de 10% (CHF 161.25) et la TVA au taux de 7,7% (CHF 136.50). * * * * *</w:t>
      </w:r>
    </w:p>
    <w:p>
      <w:r>
        <w:t>- 33/36 - P/10656/2018</w:t>
      </w:r>
    </w:p>
    <w:p>
      <w:r>
        <w:rPr>
          <w:b/>
        </w:rPr>
        <w:t>E. 12</w:t>
      </w:r>
    </w:p>
    <w:p>
      <w:r>
        <w:t>juillet 2015 consid. 8.2.2.3, 8.2.2.6, 8.3.1.1 et 8.3.2.1).</w:t>
      </w:r>
    </w:p>
    <w:p>
      <w:r>
        <w:t>- 32/36 - P/10656/2018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