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AARP/386/2024 vom 5. November 2024</w:t>
      </w:r>
    </w:p>
    <w:p>
      <w:r>
        <w:t>GE Cour de justice, 2024-11-05, FR</w:t>
      </w:r>
    </w:p>
    <w:p>
      <w:r>
        <w:rPr>
          <w:b/>
        </w:rPr>
        <w:t xml:space="preserve">Quelle: </w:t>
      </w:r>
      <w:r>
        <w:t>https://mcp.opencaselaw.ch/entscheid/ge_gerichte_AARP_386_2024</w:t>
      </w:r>
    </w:p>
    <w:p>
      <w:r>
        <w:t>FR: GE_GERICHTE AARP/386/2024 du 5 novembre 2024</w:t>
      </w:r>
    </w:p>
    <w:p>
      <w:r>
        <w:t>IT: GE_GERICHTE AARP/386/2024 del 5 novembre 2024</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À teneur de l'art. 269 al. 1 CPP, applicable aux mesures techniques de surveillance par le renvoi de l’art. 281 al. 4 CPP, le ministère public peut ordonner une mesure de surveillance aux conditions suivantes : de graves soupçons laissent présumer que l'une des infractions visées à l'art. 269 al. 2 CPP a été commise (let. a) ; cette mesure se justifie au regard de la gravité de l'infraction (let. b) ;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w:t>
      </w:r>
    </w:p>
    <w:p>
      <w:r>
        <w:rPr>
          <w:b/>
        </w:rPr>
        <w:t>E. 2.1.2</w:t>
      </w:r>
    </w:p>
    <w:p>
      <w:r>
        <w:t>Selon l'art. 278 al. 2 CPP, les informations concernant une infraction dont l'auteur soupçonné ne figure pas dans l'ordre de surveillance peuvent être utilisées lorsque les conditions requises pour ordonner une surveillance de cette personne sont remplies. Dans de tels cas, le ministère public ordonne immédiatement la surveillance et engage la procédure d'autorisation (art. 278 al. 3 CPP). Les découvertes fortuites sont ainsi exploitables seulement à la double condition que la surveillance aurait pu être autorisée et qu'elle l'a ensuite été à titre rétroactif. L'autorité doit donc notamment examiner si les faits nouvellement découverts sont susceptibles de constituer une des infractions comprise dans la liste de l'art. 269 al. 2 CPP. Les infractions qui ont permis la mise en œuvre de la surveillance initiale ne sont en revanche pas déterminantes pour autoriser l'utilisation des éléments découverts fortuitement. Quelle que soit la gravité des infractions visées par l'ordre de surveillance initial, des informations concernant des infractions supplémentaires qui ne figurent pas dans le catalogue ne peuvent pas être exploitées (Y. JEANNERET / A. KUHN / C. PERRIER DEPEURSINGE (éds), Commentaire</w:t>
      </w:r>
    </w:p>
    <w:p>
      <w:r>
        <w:t>- 11/30 - P/23355/2020 romand : Code de procédure pénale suisse, 2ème éd., Bâle 2019, n. 11 et 12 ad art. 278 CPP).</w:t>
      </w:r>
    </w:p>
    <w:p>
      <w:r>
        <w:rPr>
          <w:b/>
        </w:rPr>
        <w:t>E. 2.1.3</w:t>
      </w:r>
    </w:p>
    <w:p>
      <w:r>
        <w:t>Les découvertes fortuites non autorisées au sens de l'art. 278 CPP sont absolument inexploitables au sens de l'art. 141 al. 1 CPP, sans qu'il n'y ait de place pour la pesée des intérêts prévue à l'art. 141 al. 2 CPP (ATF 144 IV 254 consid. 1.4.3 in JdT 2019 IV p. 27). Il n'y a ainsi pas lieu d'examiner si la seconde preuve aurait aussi pu être obtenue sans la première preuve illicite, avec une grande vraisemblance, compte tenu d'un déroulement hypothétique des investigations (Y. JEANNERET / A. KUHN / C. PERRIER DEPEURSINGE (éds), op. cit., n. 39 ad art. 141 CPP et références citées).</w:t>
      </w:r>
    </w:p>
    <w:p>
      <w:r>
        <w:rPr>
          <w:b/>
        </w:rPr>
        <w:t>E. 2.2</w:t>
      </w:r>
    </w:p>
    <w:p>
      <w:r>
        <w:t>À titre liminaire, on peut souligner que les premières mesures de surveillance active, soit la mise en place d'un dispositif de sonorisation/localisation sur véhicule et d'une caméra de surveillance non visible dans l'entrée de l'immeuble sis rue 1______ no. ______, ont été dûment autorisées à l'encontre de E______ par ordonnances du TMC du 6 et 15 octobre 2020, sur la base de graves soupçons d'infractions à l'art. 19 al. 2 LStup. Ces autorisations de surveillance n'impliquaient toutefois pas, de facto, l'autorisation de surveillance de tiers, et ce même alors qu'il s'agissait d'enquêter sur des infractions qui se pratiquent à plusieurs ou par le biais d'un réseau, situation réglée par la disposition sur les découvertes fortuites. Lors de l'analyse des écoutes et des images de vidéosurveillance, le rôle de l'appelant a été mis en évidence. Le MP a bien ordonné une extension des mesures de surveillance secrète, autorisée par le TMC, à l'encontre de ce dernier concernant la sonorisation/localisation du véhicule. Toutefois, les infractions reprochées à l'appelant le sont in fine à l'art. 19 al. 1 LStup, infraction non contenue dans le catalogue de l'art. 269 al. 2 CPP. Concernant la mise en place d'une caméra de surveillance, aucune demande et a fortiori d'extension de la mesure de surveillance à l'égard de l'appelant n'a été autorisée. Dans l'ordonnance de base du 15 octobre 2020 figurait la précision suivante : "autorise l'exploitation des résultats de cette surveillance à l'encontre de E______ et de toutes les personnes qui acquerront la qualité de prévenu dans les différentes procédures liées à la présente enquête". La question de savoir si cette phrase suffit à élargir l'exploitabilité des écoutes à l'encontre de l'appelant, ou si le MP devait formuler une demande d'autorisation conformément aux réquisits de l'art. 278 al. 2 et 3 CPP, peut néanmoins souffrir de rester ouverte, les mesures de surveillance active étant dans tous les cas inexploitables à l'encontre de l'appelant pour les mêmes raisons que ci-dessus, à savoir qu'une telle surveillance n'aurait pas pu être ordonnée à l'encontre de l'appelant, l'infraction reprochée ne figurant pas au catalogue de l'art. 269 al. 2 CPP.</w:t>
      </w:r>
    </w:p>
    <w:p>
      <w:r>
        <w:t>- 12/30 - P/23355/2020 Partant, le résultat des mesures de surveillance active, au sens de l'art. 269 CPP, menées à l'encontre de E______ doit être déclaré inexploitable à l'encontre de l'appelant en l’absence d’infraction figurant au catalogue de l’art. 269 al. 2 CPP.</w:t>
      </w:r>
    </w:p>
    <w:p>
      <w:r>
        <w:rPr>
          <w:b/>
        </w:rPr>
        <w:t>E. 2.3</w:t>
      </w:r>
    </w:p>
    <w:p>
      <w:r>
        <w:t>Il convient ainsi de ne pas tenir compte à charge de l’appelant du résultat direct desdites mesures de surveillance active, soit en particulier les rapports de renseignements du 6 décembre 2020 (C 10-218 à C 10-250) et du 18 décembre 2020 (C 10-280 à C10-285). Ces pièces, valablement exploitées à charge d’autres prévenus, resteront néanmoins au dossier de la procédure.</w:t>
      </w:r>
    </w:p>
    <w:p>
      <w:r>
        <w:rPr>
          <w:b/>
        </w:rPr>
        <w:t>E. 3.1</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L'art. 180 al. 1 CP punit quiconque, par une menace grave, alarme ou effraye une personne. Sur le plan objectif, l'art. 180 al. 1 CP suppose la réalisation de deux conditions. Premièrement, il faut que l'auteur ait émis une menace grave, soit une menace objectivement de nature à alarmer ou à effrayer la victime. Toute menace ne tombe pas sous le coup de l'art. 180 CP. La loi exige en effet que la menace soit grave. C'est le cas si elle est objectivement de nature à alarmer ou à effrayer la victime. On tient compte de la réaction qu'aurait une personne raisonnable, dotée d'une résistance</w:t>
      </w:r>
    </w:p>
    <w:p>
      <w:r>
        <w:t>- 13/30 - P/23355/2020 psychologique plus ou moins normale, face à une situation identique (ATF 122 IV 97 consid. 2b ; 99 IV 212 consid. 1a ; arrêt du Tribunal fédéral 6B_578/2016 du 19 août 2016 consid. 2.1). Les menaces de lésions corporelles graves ou de mort doivent en revanche être considérées comme des menaces graves au sens de l'art. 180 CP (arrêt du Tribunal fédéral 6B_1428/2016 du 3 octobre 2017 consid. 2.1). Le contexte dans lequel des propos sont émis est un élément permettant d'en apprécier le caractère menaçant ou non (cf. arrêts du Tribunal fédéral 6B_593/2016 du 27 avril 2017 consid. 3.1.3 ; 6B_307/2013 du 13 juin 2013 consid. 5.2). En second lieu, il faut que la victime ait été effectivement alarmée ou effrayée. Elle doit craindre que le préjudice annoncé se réalise. L'infraction est intentionnelle, le dol éventuel étant suffisant (arrêts du Tribunal fédéral 6B_578/2016 du 19 août 2016 consid. 2.1 ; 6B_871/2014 du 24 août 2015 consid. 2.2 ; 6B_820/2011 du 5 mars 2012 consid. 3). 3.3.1. Selon l'art. 144 al. 1 CP, commet l'infraction de dommages à la propriété, quiconque, sans droit, endommage, détruit ou met hors d'usage une chose appartenant à autrui, pour autant que celui-ci ait déposé une plainte à son encontre. Sur le plan subjectif, l'infraction est intentionnelle (A. DONATSCH, OFK StGB/JStG Kommentar, 21ème éd. 2022, n.</w:t>
      </w:r>
    </w:p>
    <w:p>
      <w:r>
        <w:rPr>
          <w:b/>
        </w:rPr>
        <w:t>E. 6</w:t>
      </w:r>
    </w:p>
    <w:p>
      <w:r>
        <w:t>ad art. 144 ; S. TRECHSEL/D. CRAMERI, Praxiskommentar StGB, 4ème éd. 2021, n. 6 ad art. 144). 3.3.2. Lorsqu'ils sont d'importance mineure au sens de l'art. 172ter CP, des dommages à la propriété constituent une simple contravention. Une infraction au patrimoine est d'importance mineure lorsque la valeur concernée ne dépasse pas CHF 300.- (ATF 142 IV 129 consid. 3.1 ; 123 IV 113 consid. 3d ; arrêt du Tribunal fédéral 6B_1108/2021 [destiné à la publication aux ATF] du 27 avril 2023 consid. 1.5.1). À cet égard, seul l'état subjectif de l'auteur est déterminant, en ce sens qu'il doit avoir intentionnellement visé un élément patrimonial d'une valeur maximale de CHF 300.- (ATF 123 IV 155 consid. 1a ; 122 IV 156 consid. 2a ; arrêts du Tribunal fédéral 6B_68/2022 du 23 janvier 2023 consid. 2.2 ; 6B_1054/2021 du</w:t>
      </w:r>
    </w:p>
    <w:p>
      <w:r>
        <w:rPr>
          <w:b/>
        </w:rPr>
        <w:t>E. 6.1</w:t>
      </w:r>
    </w:p>
    <w:p>
      <w:r>
        <w:t>Aux termes de l'art. 66a bis CP, le juge peut expulser un étranger du territoire suisse pour une durée de trois à quinze ans si, pour un crime ou un délit non visé à l'art. 66a CP, celui-ci a été condamné à une peine ou a fait l'objet d'une mesure. Il s'agit d'une Kann-Vorschrift (G. MÜNCH / F. DE WECK, Die neue Landesverweisung, in Art. 66a ff. StGB, Revue de l'avocat 2016, p. 163 ; G. FIOLKA / L. VETTERLI, Landesverweisung nach Art. 66a StGB als strafrechtliche Sanktion, cahier spécial, Plaidoyer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relatif aux ingérences dans la vie privée et familiale (arrêts du Tribunal fédéral 6B_1005/2020 du 22 décembre 2020 consid. 1.1 ; 6B_528/2020 du 13 août 2020 consid. 3.2).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(ATF 139 I 16 consid. 2.2.1 ; 135 II 377 consid. 4.3 ; arrêt du Tribunal fédéral 6B_756/2021 du 23 mars 2022 consid. 4.1 et 4.2).</w:t>
      </w:r>
    </w:p>
    <w:p>
      <w:r>
        <w:rPr>
          <w:b/>
        </w:rPr>
        <w:t>E. 6.2</w:t>
      </w:r>
    </w:p>
    <w:p>
      <w:r>
        <w:t>En l'occurrence, l'appelant est installé durablement en Suisse depuis 2017 et a travaillé dans une entreprise de nettoyage jusqu'en 2020, année durant laquelle il a eu un accident de travail. Il réside actuellement à Genève auprès de sa compagne et de ses deux filles, toutes trois de nationalité suisse. Il n'exerce aucune activité lucrative mais s'occupe de ses deux enfants, de cinq et trois ans. Contrairement à ce qu'argue le MP, l'appelant ne présente pas un risque de réitération élevé au vu d'une absence de prise de conscience. Au contraire, son rôle est investi auprès de sa famille nucléaire, et les faits pour lesquels il est condamné sont particulièrement anciens. Ainsi l'intérêt public à l'expulser pénalement de Suisse doit être relativisé et ne l'emporte pas sur son intérêt privé à demeurer en Suisse. Il sera renoncé à son expulsion. Le jugement entrepris sera confirmé sur ce point.</w:t>
      </w:r>
    </w:p>
    <w:p>
      <w:r>
        <w:t>- 22/30 - P/23355/2020 7. 7.1. Selon l'art. 69 CP, même si 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(subsidiarité ; ATF 137 IV 249 consid. 4.4 et 4.5 ; arrêt du Tribunal fédéral 6B_35/2017 du 26 février 2018 consid. 9.1 ; arrêt du Tribunal fédéral 6B_1351/2023 du 19 juillet 2023 consid. 2.2). 7.2.1. En l'espèce, les téléphones saisis l'ont été suite à une ordonnance de séquestre délivrée par le MP selon laquelle ces derniers pourraient contenir des informations en lien avec des infractions à la LStup et l'obtention illicite de prestation de l'assurance sociale, infractions qui ont fait l'objet d'un acquittement et d'un classement. Ainsi, il ne peut être retenu que ces objets ont servi à commettre une infraction ou sont le fruit d'une infraction. Ils devront ainsi être restitués à l'appelant. Le jugement sera modifié en ce sens. 7.2.2. La restitution à l'appelant de la clé figurant sous chiffre 2 de l'inventaire n° 5______ du 17 décembre 2020 sera confirmée. 8. 8.1. Le classement de l'infraction de menaces fait suite au retrait de plainte, durant la procédure d'appel, de K______. Selon les dires de l'appelant, dont il n'y a pas lieu de douter, elle a effectué ce retrait suite à ses excuses. Il ne peut ainsi pas être retenu que la plaignante a agi de manière téméraire (art. 427 al. 2 CPP) ; les frais, modiques, seront mis à la charge de l’appelant (art. 428 al. 2 let a CPP). 8.2.1. Au vu du classement de l'infraction de menaces à l'encontre de K______, de l'acquittement prononcé s'agissant des infractions à la LStup, de la reconnaissance de la violation du principe de célérité et de la restitution des téléphones séquestrés,</w:t>
      </w:r>
    </w:p>
    <w:p>
      <w:r>
        <w:t>- 23/30 - P/23355/2020 l'appelant supportera le tiers des frais de la procédure d'appel, dont un émolument d'arrêt de CHF 1'500.-. L’émolument complémentaire de jugement du TCO sera mis à sa charge dans la même proportion. Le solde sera laissé à la charge de l'État (art. 428 al. 1 CPP). 8.2.2. Vu l'acquittement prononcé (il ne sera pas tenu compte du classement, les conditions de ce dernier étant survenues durant la procédure d'appel), il y a lieu de revoir la répartition des frais de première instance (art. 428 al. 3 CPP), étant précisé que les infractions à la LStup ont conduit à de nombreux actes d'instruction durant presque quatre ans. L'appelant a été condamné à payer un quart des frais de la procédure de première instance, desquels avaient été déduit CHF 1'000.-. Compte tenu de l’ampleur très relative des faits qui sont finalement retenus à son encontre, en regard du volume très important de la procédure, il se justifie, ex aequo et bono, d’arrêter les frais à sa charge pour la procédure préliminaire et de première instance à CHF 2'000.-. 9. 9.1.1. Au sens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Cette disposition fonde le droit à une indemnité résultant d'une responsabilité causale de l'État, quand bien même aucune faute n'est imputable aux autorités (arrêt du Tribunal fédéral 6B 928/2014 du 10 mars 2016 consid. 2 non publié aux ATF 142 IV 163). Aux termes de l'art. 431 al. 2 CPP,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En d'autres termes, le prévenu doit être indemnisé si la sanction finalement infligée ne peut pas être totalement imputée sur la détention avant jugement effectivement subie (ATF 142 IV 389 consid. 5). 9.1.2.1. L'ampleur de la réparation morale dépend avant tout de la gravité des souffrances physiques ou psychiques consécutives à l'atteinte subie par l'intéressé et de la possibilité d'adoucir sensiblement, par le versement d'une somme d'argent, la douleur morale qui en résulte. En principe, un montant de CHF 200.- par jour en cas de détention injustifiée de courte durée constitue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À cet égard, le juge peut notamment prendre en considération les répercussions de la détention sur la vie privée, sociale et professionnelle de la personne acquittée, le retentissement de la</w:t>
      </w:r>
    </w:p>
    <w:p>
      <w:r>
        <w:t>- 24/30 - P/23355/2020 procédure sur l'environnement de celle-ci, la gravité des faits reprochés, ou encore la durée de la détention, étant précisé que n'ont en revanche pas à être pris en compte les désagréments inhérents à toute poursuite pénale comme la charge psychique que celle-ci est censée entraîner normalement chez une personne mise en cause.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 arrêt du Tribunal fédéral 6B_1374/2021 du 18 janvier 2023 consid. 3.2). 9.1.2.2. Dans l'arrêt 6B_744/2020 du 26 octobre 2020, le Tribunal fédéral n'a pas considéré comme contraire au droit une indemnité correspondant à CHF 150.- par jour pour une détention excessive de 59 jours. 9.1.3. La réparation morale est due avec intérêt à partir du jour où le préjudice a été causé. Lorsque la victime a subi des atteintes pendant une période prolongée, les intérêts sur l'indemnité courent, en général, à partir d'une date moyenne (arrêt du Tribunal fédéral 6B_123/2020 du 26 novembre 2020 consid. 10.6). 9.1.5. L'indemnisation des mesures de substitution à la détention, au sens de l'art. 237 CPP, qui se révèlent infondées suite au prononcé du jugement suit en principe les mêmes règles que celles relatives à la détention (en ce sens : AARP/161/2022 du 25 mai 2022 consid. 2.2.5.3). Il convient toutefois de tenir compte du caractère bien plus restreint de l'atteinte à la liberté d'une telle mesure, en particulier s'agissant d'une interdiction de contact avec des personnes qui ne sont pas des proches du prévenu ou d'une obligation hebdomadaire de pointer à un poste de police, en comparaison avec celle engendrée par une détention (arrêts du Tribunal fédéral 6B_990/2020 du 26 novembre 2021 consid. 2.5.1 ; 6B_147/2021 du 29 septembre 2021 ; 6B_772/2020 du 8 décembre 2020 consid. 3.3). 9.2. Sur la totalité de la procédure, l'appelant a été détenu pendant 335 jours. 244 jours (soit huit mois) de cette détention avant jugement ont été imputés sur la peine prononcée dans la présente procédure. Il reste dès lors un solde de 91 jours qualifié de détention injustifiée. Au regard de la période de détention injustifiée, il apparait adéquat de fixer à un montant de CHF 100.- l'indemnité journalière à laquelle l'appelant peut prétendre. En effet, au-delà de ce constat, il n'a pas plaidé, malgré l'invitation de la Cour, avoir mal vécu cette détention, ni qu'elle lui aurait causé des souffrances particulières. À titre d'exemple, on ne relève pas de dégradation de sa situation financière et professionnelle, l'appelant ayant été sans emploi durant cette même période. La</w:t>
      </w:r>
    </w:p>
    <w:p>
      <w:r>
        <w:t>- 25/30 - P/23355/2020 frustration et le sentiment d'injustice ressenti est commun à toute personne placée en détention avant qu'une décision d'acquittement ne soit rendue. S'agissant de ses conditions de détention l'appelant ne fait pas état d'atteintes concrètes. La seule évocation d'avoir été éloigné de sa famille, ne saurait suffire à justifier une augmentation de l'indemnité. Il a également été soumis à des mesures de substitution. En premier lieu de mars 2019 à mars 2020 (363 jours) ; aux termes de ces mesures, il avait notamment l'obligation d'être suivi par le Service de probation et d'insertion, l'interdiction de prendre contact avec toutes personnes concernées par la procédure et l'obligation d'entreprendre un suivi psychothérapeutique, suivi qu'il souhaitait entreprendre. En second lieu de juin 2021 à janvier 2024 (soit 935 jours) ; aux termes de ces mesures, il avait notamment l'interdiction de prendre contact avec toutes personnes concernées par la procédure, de quitter le territoire et l'obligation de remettre ces documents d'identité au MP. Les mesures de substitution subies par l'appelant ne sauraient être qualifiées de gravement attentatoires à sa liberté personnelle, ce qu'il n'a d'ailleurs pas plaidé. Les premières traduisaient sa volonté et ne représentaient pas une ingérence importante dans sa vie privée et familiale. Ces mesures ne feront dès lors pas l'objet d'une indemnisation. Les secondes mesures, lui interdisant de quitter le territoire pendant une longue durée, ont en revanche porté une atteinte plus importante à sa liberté. Cela étant, cette interdiction a porté atteinte à sa liberté personnelle dans une mesure bien moindre qu'en cas de détention provisoire. Au vu de ce qui précède, la Cour est d'avis que la prise en compte des mesures de substitution à hauteur de 5% de leur durée, soit 47 jours, apparaît adéquate. Ainsi, il se justifie d'octroyer à l'intimé une indemnisation de CHF 13'800.-, ce qui correspond à 138 jours de détention injustifiée (mesures de substitution comprises) à un tarif journalier de CHF 100.-. Ce montant portera intérêts de 5% l'an dès le 10 juillet 2021 (date moyenne). Le jugement sera réformé en ce sens.</w:t>
      </w:r>
    </w:p>
    <w:p>
      <w:r>
        <w:t>- 26/30 - P/23355/2020 10. 10.1.1.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10.1.2. 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10.1.3.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pour les stagiaires / collaborateurs, dite rémunération étant allouée d'office par la juridiction d'appel pour les débats devant elle.</w:t>
      </w:r>
    </w:p>
    <w:p>
      <w:r>
        <w:t>- 27/30 - P/23355/2020</w:t>
      </w:r>
    </w:p>
    <w:p>
      <w:r>
        <w:t>10.2. En l'occurrence, la partie "procédure" de l'état de frais de Me B______ apparait excessive à ce stade de la procédure, alors que le dossier était bien connu de ce dernier et qu'il venait de le plaider en janvier 2024. Aucune motivation ne vient étayer l'activité réalisée qui permettrait de comprendre le nombre d'heures indiqué. En outre, la complexité de la procédure doit être relativisée vu l'inexploitabilité des écoutes, qui représentaient une partie importante du dossier. Ainsi, les 1h15 d'activité de chef d'étude et les 1h40 d'activité de stagiaire seront retranchées de l'état de frais ainsi que 15h d'activité de collaborateur, 12h20 d'activité apparaissant amplement suffisantes. Il convient d'ajouter 2h15 pour la durée de l'audience et une vacation, au tarif d'un collaborateur.</w:t>
      </w:r>
    </w:p>
    <w:p>
      <w:r>
        <w:t>En conclusion, la rémunération sera arrêtée à CHF 3'552.45 correspondant à une heure d'activité au tarif de CHF 200.-/heure, 18h35 d'activité au tarif de CHF 150.- /heure (CHF 2'787.50) plus la majoration forfaitaire de 10% (CHF 298.75), une vacation à CHF 75.- et l'équivalent de la TVA au taux de 8.1% en CHF 266.20. 10.3.1. Conformément à la demande de C______, la nomination de Me D______ en tant que conseil juridique gratuit est prolongée pour la procédure d'appel. 10.3.2. Considéré globalement, l'état de frais produit par Me D______ satisfait les exigences légales et jurisprudentielles régissant l'assistance judiciaire gratuite en matière pénale. Il convient de le compléter de 2h15 pour la durée de l'audience et ajouter une vacation pour cette dernière, le tout au tarif d'avocat stagiaire.</w:t>
      </w:r>
    </w:p>
    <w:p>
      <w:r>
        <w:t>La rémunération de Me D______ sera partant arrêtée à CHF 817.50 correspondant à 4h15 d'activité au tarif de CHF 150.-/heure (CHF 637.50), plus la majoration forfaitaire de 10% (CHF 63.75), un déplacement à CHF 55.- et l'équivalent de la TVA au taux de 8.1% en CHF 61.25. * * * * *</w:t>
      </w:r>
    </w:p>
    <w:p>
      <w:r>
        <w:t>- 28/30 - P/23355/2020</w:t>
      </w:r>
    </w:p>
    <w:p>
      <w:r>
        <w:rPr>
          <w:b/>
        </w:rPr>
        <w:t>E. 11</w:t>
      </w:r>
    </w:p>
    <w:p>
      <w:r>
        <w:t>mars 2022 consid. 2.1.1 ; 6B_497/2020 du 3 novembre 2020 consid. 2.1.2 ; 6B_158/2018 du 14 juin 2018 consid. 2.2). Infractions à la LStup 4. 4.1. Les éléments à la procédure demeurant exploitables ne permettent pas de retenir la culpabilité de l'appelant, étant précisé que E______ n'a pas spontanément parlé de lui, ni ne l'a jamais incriminé suite à l'écoute des conversations et qu'il n'a pas été directement observé par la police en un quelconque flagrant délit.</w:t>
      </w:r>
    </w:p>
    <w:p>
      <w:r>
        <w:t>- 14/30 - P/23355/2020 Dès lors, au bénéfice du principe in dubio pro reo, l'appelant sera acquitté d'infraction à l'art. 19 al. 1 let. c et d LStup pour les faits qu’il conteste. Le jugement entrepris sera modifié sur ce point. Infraction à l'encontre de K______</w:t>
      </w:r>
    </w:p>
    <w:p>
      <w:r>
        <w:t>4.2. K______ a retiré sa plainte pénale par courrier reçu par la CPAR le</w:t>
      </w:r>
    </w:p>
    <w:p>
      <w:r>
        <w:rPr>
          <w:b/>
        </w:rPr>
        <w:t>E. 12</w:t>
      </w:r>
    </w:p>
    <w:p>
      <w:r>
        <w:t>septembre 2024. L'infraction reprochée, qualifiée de menaces par le premier juge, étant poursuivie sur plainte, ce retrait constitue un empêchement de procéder devant conduire au classement de ces faits (art. 329 CPP).</w:t>
      </w:r>
    </w:p>
    <w:p>
      <w:r>
        <w:t>Le jugement entrepris sera modifié sur ce point.</w:t>
      </w:r>
    </w:p>
    <w:p>
      <w:r>
        <w:t>Menaces à l'encontre de C______</w:t>
      </w:r>
    </w:p>
    <w:p>
      <w:r>
        <w:t>4.3. L'appelant persiste à contester avoir menacé C______. Il a admis avoir donné des coups de poings à ce dernier et avoir lancé des bouteilles en verre mais a déclaré n’avoir jamais prononcé de menaces à son encontre. C______ a quant à lui été constant dans sa description des faits, tant dans sa plainte pénale que dans ses différentes déclarations qui s'en sont suivies. Contrairement à ce que relève l'appelant, les témoins entendus n'ont pas indiqué qu'aucune menace n'avait été proférée. Deux d'entre eux n'en ont pas rapporté et le troisième, interrogé sur ce point, explique ne pas en avoir entendu, étant précisé qu'au moment de la bagarre il devait y avoir une certaine agitation dans le bar. Au vu du contexte, à savoir la virulence de l'altercation entre l'appelant et plaignant, la Cour retient que l'appelant a tenu les propos qui lui sont reprochés, étant précisé que ceux-ci sont de nature à alarmer ou à effrayer une personne raisonnable dans la même situation dans la mesure où il s'agit de menaces de lésions corporelles graves ou de mort. Reste à établir si le plaignant a effectivement été alarmé ou effrayé par ces menaces. Comme le relève l'appelant, le plaignant n'en a pas fait état devant le MP. Toutefois, dans sa plainte, il a indiqué avoir eu peur et devant la police, il a relaté une altercation survenue en 2010 avec l'appelant et ses acolytes durant laquelle il avait été effrayé et a indiqué s'en être souvenu durant les faits en question. En outre, au vu du contexte ‒ à savoir que C______ faisait face à la même bande d'individu qui s'en était pris à lui en 2010, que l'un des individus présents avait reçu un commandement de payer d'un montant important notifié par son conseil, que la</w:t>
      </w:r>
    </w:p>
    <w:p>
      <w:r>
        <w:t>- 15/30 - P/23355/2020 situation avait dégénéré lorsqu'il avait voulu s'enfuir, qu'il avait été frappé par l'appelant puis avait essuyé des jets de bouteilles en verre ‒ , il ne fait aucun doute pour la Cour que C______ a été effrayé par les menaces de l'appelant. Ainsi, l'appelant sera condamné pour menaces (art. 180 al. 1 CP) et le jugement entrepris confirmé sur ce point. Dommages à la propriété</w:t>
      </w:r>
    </w:p>
    <w:p>
      <w:r>
        <w:t>4.4. L'appelant ne conteste pas avoir commis les dégâts matériels décrits sous chiffre 1.3.5 de l'acte d'accusation. Il argue en revanche ne pas avoir été le seul à lancer des bouteilles en verre et ainsi ne pas être le seul responsable des dommages. D'après les différentes déclarations des parties, C______ est venu se réfugier derrière le bar, dos au mur et au frigo. Il apparait ainsi que ce sont les bouteilles lancées par l'appelant qui ont causé les dégâts. Au surplus, une éventuelle faute de C______ n'est pas déterminante vu l'absence de compensation des fautes en droit pénal (ATF 122 IV 17 consid. 2c/bb p. 24). L'appelant plaide également que l'ampleur des dégâts n'a pas été démontrée, précisant que le bar était déjà abîmé et que le trou dans le mur avait vite été réparé. Le montant des dégâts causés n'a pas été chiffré par la gérante du bar, auteure de la plainte pénale. Les éléments au dossier ne permettent pas de retenir que le bar était déjà abîmé et le fait que le trou dans le mur ait rapidement été réparé ne permet pas de retenir que cela s'est fait à faible coût. En outre, le frigo a été endommagé et il apparait évident qu'un frigo, de surcroît professionnel, coûte plus de CHF 300.-, ce que l'appelant ne pouvait ignorer. La Cour retient ainsi qu'il ne s'agit pas d'un cas d'importance mineure. Il s'ensuit que l'appelant doit être condamné du chef de dommages à la propriété et son appel rejeté sur ce point. 4.5. L'appelant a également été condamné pour une infraction simple à la LStup, lésions corporelles simples (art. 123 ch. 1 aCP) et tentative de lésions corporelles simples aggravées (art. 22 cum 123 ch. 2 al. 1 aCP), ce qu'il ne conteste à juste titre pas. 5. 5.1. Les infractions de lésions corporelles simples (art. 123 ch. 1 aCP), de lésions corporelles simples aggravées (art. 123 ch. 2 al. 1 aCP), de dommages à la propriété (art. 144 ch. 1 CP) et de menaces (art. 180 al. 1 CP) sont passibles d'une peine privative de liberté de trois ans au plus ou d'une peine pécuniaire, tout comme l’infraction à l’art. 19 al. 1 LStup.</w:t>
      </w:r>
    </w:p>
    <w:p>
      <w:r>
        <w:t>- 16/30 - P/23355/2020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5.2.2. L'art. 41 CP autorise le juge à prononcer une peine privative de liberté à la place d'une peine pécuniaire, en justifiant son choix de manière circonstanciée (al. 2), si une peine privative de liberté paraît justifiée pour détourner l'auteur d'autres crimes ou délits (al. 1 let. a) ou s'il y a lieu de craindre qu'une peine pécuniaire ne puisse pas être exécutée (al. 1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constitue une sanction plus clémente qu'une peine privative de liberté (ATF 144 IV 313 consid. 1.1.1 ; 134 IV 97 consid. 4.2.2). Le choix de la sanction doit être opéré en tenant compte au premier chef de l'adéquation de la peine, de ses effets sur l'auteur et sur sa situation sociale ainsi que de son efficacité du point de vue de la prévention (ATF 147 IV 241 consid. 3.2 ; 144 IV 313 consid. 1.1.1). La faute de l'auteur n'est en revanche pas déterminante (ATF 137 II 297 consid. 2.3.4 ; 144 IV 313 consid. 1.1.1), pas plus que sa situation économique ou le fait que son insolvabilité apparaisse prévisible (ATF 134 IV 97 consid. 5.2.3). 5.2.3.1. Aux termes des art. 42 al. 1 et 44 al. 1 CP, le juge suspend en règle générale l'exécution d'une peine pécuniaire ou d'une peine privative de liberté de deux ans au</w:t>
      </w:r>
    </w:p>
    <w:p>
      <w:r>
        <w:t>- 17/30 - P/23355/2020 plus lorsqu'une peine ferme ne paraît pas nécessaire pour détourner l'auteur d'autres crimes ou délits. Le juge impartit au condamné un délai d'épreuve de deux à cinq ans. Si, durant ce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(art. 46 al. 1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ATF 134 IV 140 consid. 4.2 p. 143 ; arrêts du Tribunal fédéral 6B_1339/2016 du 23 mars 2017 consid. 1.1.1). 5.2.3.2. La révocation du sursis ne peut plus être ordonnée lorsque trois ans se sont écoulés depuis l’expiration du délai d’épreuve (art. 46 al. 5 CP). 5.2.4. Aux termes de l'art. 49 al. 1 CP, si, en raison d'un ou de plusieurs actes, l'auteur remplit les conditions de plusieurs peines de même genre, le juge le condamne à la peine de l'infraction la plus grave et l'augmente dans une juste proportion. 5.2.5. Aux termes de l'art. 51 CP, le juge impute sur la peine la détention avant jugement subie par l'auteur dans le cadre de l'affaire qui vient d'être jugée ou d'une autre procédure. Il découle de cette disposition qu'une peine privative de liberté doit, si possible, être compensée avec la privation de liberté déjà intervenue, même dans une autre procédure (ATF 133 IV 150 consid. 5.1). La détention avant jugement doit être imputée sur la peine, indépendamment du fait que celle-ci soit assortie du sursis ou non et qu'il s'agisse d'une peine pécuniaire, privative de liberté ou d'une amende</w:t>
      </w:r>
    </w:p>
    <w:p>
      <w:r>
        <w:t>- 18/30 - P/23355/2020 (ATF 135 IV 126 consid. 1.3.6 ; cf. arrêt du Tribunal fédéral 6B_389/2018 du 6 septembre 2018 consid. 1.2 sur l'imputation sur une peine prononcée avec sursis). La question de l'indemnisation d'une détention injustifiée ne se pose donc en principe que si une imputation suffisante de cette détention sur une autre sanction au sens de l'art. 51 CP n'est plus possible ; l'indemnisation financière est ainsi subsidiaire à l'imputation (ATF 141 IV 236 consid. 3.3 ; arrêt du Tribunal fédéral 6B_431/2015 du 24 mars 2016 consid. 2.2). 5.2.6.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Apparaissent comme des carences choquantes une inactivité de treize ou quatorze mois au stade de l'instruction ou encore un délai de dix ou onze mois pour que le dossier soit transmis à l'autorité de recours (ATF 130 IV 54 consid. 3.3.3). La violation du principe de la célérité peut avoir pour conséquence la diminution de la peine, parfois l'exemption de toute peine ou encore une ordonnance de classement en tant qu'ultima ratio dans les cas les plus extrêmes. Il convient pour en juger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et 135 IV 12 consid. 3.6). 5.2.7. L'art. 53 aCP, dans sa teneur au 30 juin 2019, est applicable dans la mesure où les faits se sont déroulés avant la modification intervenue le 1er juillet 2019 qui n'est pas plus favorable à l'appelant dès lors qu'elle pose comme condition supplémentaire que l'auteur ait admis les faits. Cette disposition prévoit que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 L'auteur doit démontrer par la réparation du dommage qu'il assume ses responsabilités et reconnaît notamment le caractère illicite ou du moins incorrect de son acte (ATF 135 IV 12 consid. 3.5.3 ; arrêt du Tribunal fédéral 6B_344/2013 du 19 juillet 2013 ; cf. aussi ATF 136 IV 41 consid. 1.2). Si l'auteur persiste à nier tout comportement incorrect, on doit admettre qu'il ne reconnaît pas, ni n'assume sa faute</w:t>
      </w:r>
    </w:p>
    <w:p>
      <w:r>
        <w:t>- 19/30 - P/23355/2020 ; l'intérêt public à une condamnation l'emporte donc (arrêt du Tribunal fédéral 6B_558/2009 du 26 octobre 2009 consid. 2.1 et 2.2). Enfin, la réparation du dommage ne peut conduire à une exemption de peine que si l'intérêt public et celui du lésé à la poursuite pénale sont de peu d'importance. (ATF 135 IV 12 consid. 3.4.3). 5.3. En l'espèce, la faute de l'appelant est importante. Il s'en est pris à l'intégrité physique de C______ et n'a pas hésité à le menacer. En outre, ne maitrisant pas son état de colère, il a porté atteinte à la propriété du bar J______. Sa situation personnelle n'explique ni ne justifie les actes commis. Sa collaboration et sa prise de conscience ne sauraient être qualifiées de mauvaises dans la mesure où il a admis la plupart des faits reprochés. Il persiste toutefois à nier les menaces envers C______. Il y a concours d'infractions. Il a deux antécédents, dont un spécifique mais ancien. Concernant l'infraction de dommage à la propriété, l'appelant indique avoir pris des dispositions pour rembourser la gérante du bar J______ mais que cette dernière avait quitté la Suisse et vendu son établissement. Il avait ainsi été dans l'impossibilité de la rembourser. Cette tentative de réparation ne relève toutefois pas de la spontanéité : ce n'est que suite au dépôt de plainte de la gérante, à son interpellation et à ses auditions qu'il a proposé le remboursement des dégâts commis. Au demeurant, il indique, sans le prouver, avoir uniquement envoyé un message WhatsApp à la gérante. Le degré d'effort du prévenu dans la réparation du dommage apparait ainsi, somme toute, plutôt relatif. L'appelant ne saurait ainsi être mis au bénéfice de l'art. 53 aCP dans la mesure où il n'a pas accompli tous les efforts que l'on pouvait raisonnablement attendre de lui pour compenser le tort causé. Concernant la durée de la procédure, le MP relève que celle-ci a été longue mais qu'il n'y a pas eu de temps morts, notamment au vu du nombre de prévenus impliqué. Les premières plaintes déposées à l'encontre du prévenu l'ont été en janvier et en octobre 2018, à la suite desquelles le prévenu a rapidement été arrêté et auditionné, soit dès février et novembre 2018. Une audience de confrontation a eu lieu en décembre 2018. D'autres actes d'instructions concernant des infractions classées ont eu lieu en 2021. Force est de constater, qu'avant qu'il y ait jonction des procédures, l'appelant aurait déjà pu voir son sort réglé concernant les infractions de menaces, lésions corporelles simple et dommages à la propriété. Durant les autres années d'instruction, au nombre de quatre et concernant les infractions à la LStup, diverses auditions ont eu lieu, notamment en lien avec les mesures de surveillance, et sont particulièrement</w:t>
      </w:r>
    </w:p>
    <w:p>
      <w:r>
        <w:t>- 20/30 - P/23355/2020 disséminées dans le temps, étant précisé que le dossier est volumineux mais pas particulièrement complexe. En outre, comme déjà établi, l'implication de l'appelant repose sur des mesures de surveillances illicites à son encontre. Il subit depuis six ans cette procédure, six années qui l'ont maintenu dans l'angoisse et l'incertitude (cf. rapport médical de ses psychiatre et psychologue). Il y a ainsi eu violation du principe de célérité, laquelle sera constatée dans le dispositif et conduira à une légère réduction de peine. En ce qui concerne le choix du type de peine, les précédentes condamnations de l'appelant l'ont été à une peine privative de liberté ferme (de trois ans et quatre mois) ainsi qu'à une peine pécuniaire, certes avec sursis, ce qui ne l'a toutefois pas dissuadé de récidiver, avec une violence particulière, de sorte que sous l'angle de la prévention spéciale, le prononcé d'une peine privative de liberté se justifie. Il l'est d'autant plus que rien au dossier n'établit que l'appelant serait en mesure de s'acquitter d'une peine pécuniaire, si celle-ci aurait dû être envisagée. Il n'exerce aucune activité rémunérée, assumant la garde partielle de ses enfants pendant que sa compagne suit une formation, et n'a fait part d'aucun projet professionnel. L'infraction la plus grave est celle à l'art. 123 al. 1 aCP (lésions corporelles simples), laquelle a été consommée et touche à l'intégrité corporelle, pour laquelle il se justifie de prononcer une peine privative de liberté de base de quatre mois. Cette peine doit être augmentée de deux mois (peine hypothétique : trois mois) pour tenir compte de la tentative de lésions corporelles simples aggravées, de deux mois (peine hypothétique : trois mois) pour tenir compte de la contrainte, d'un mois (peine hypothétique : 45 jours) pour tenir compte des dommages à la propriété et d’un mois (peine hypothétique : 45 jours) pour l’infraction à l’art. 19 al. 1 let. c et d LStup. La violation du principe de célérité impose une réduction de l’ordre de deux mois. C'est ainsi une peine privative de liberté d’ensemble de huit mois qui sera prononcée. L'appelant, qui n'a plus commis d'infraction depuis fin 2020 (ndr : infraction à l'art. 19a LStup, classée car prescrite) ne présente pas de pronostic défavorable, d'autant plus qu'il bénéficie aujourd'hui d'une situation personnelle stable, vivant avec sa compagne et s'occupant de ses deux jeunes filles. Toutefois, la peine ayant déjà été subie dans son intégralité (cf. 9.2), la question du prononcé du sursis et de la fixation d'un délai d'épreuve n'est pas pertinente. La question de la révocation du précédent sursis ne se pose pas dès lors que trois ans se sont écoulés depuis l'expiration du délai d'épreuve. C'est ainsi une peine privative de liberté de huit mois, sous déduction de la détention avant jugement subie, qui sera prononcée. Le jugement sera modifié sur ce point.</w:t>
      </w:r>
    </w:p>
    <w:p>
      <w:r>
        <w:t>- 21/30 - P/23355/2020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