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AARP/385/2017 vom 27. November 2017</w:t>
      </w:r>
    </w:p>
    <w:p>
      <w:r>
        <w:t>GE Cour de justice, 2017-11-27, FR</w:t>
      </w:r>
    </w:p>
    <w:p>
      <w:r>
        <w:rPr>
          <w:b/>
        </w:rPr>
        <w:t xml:space="preserve">Quelle: </w:t>
      </w:r>
      <w:r>
        <w:t>https://mcp.opencaselaw.ch/entscheid/ge_gerichte_AARP_385_2017</w:t>
      </w:r>
    </w:p>
    <w:p>
      <w:r>
        <w:t>FR: GE_GERICHTE AARP/385/2017 du 27 novembre 2017</w:t>
      </w:r>
    </w:p>
    <w:p>
      <w:r>
        <w:t>IT: GE_GERICHTE AARP/385/2017 del 27 novembre 2017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w:t>
      </w:r>
    </w:p>
    <w:p>
      <w:r>
        <w:t>- 9/20 - P/9148/2015 lorsque le juge du fond retient un état de fait défavorable à l'accusé alors qu'il existe un doute raisonnable quant au déroulement véritable des événements (ATF 127 I 38 consid. 2a p. 41 ; arrêt du Tribunal fédéral 6B_784/2011 du 12 mars 2012 consid. 1.1). 2.1.2. 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2.2.1.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- 10/20 - P/9148/2015 2.2.2. 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 jurisprudence a reconnu la qualité pour porter plainte pour dommages à la propriété non pas au seul propriétaire, mais à tout ayant droit privé de l'usage de la chose, alors même que cette infraction vise en premier lieu à protéger la propriété (ATF 118 IV 209 consid. 3 p. 212 = JdT 1994 IV 162 ; ATF 117 IV 437 consid. 1b = JdT 1994 IV 38 ; ATF 102 II 87 consid. a). La jurisprudence s'inspire de l'idée que le locataire ou tout autre usager sont souvent plus atteints par le dommage que celui qui a simplement perdu la contrevaleur de l'objet (ATF 117 IV 437 consid. 1b). 2.2.3.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 Pour déterminer si l'auteur a proféré une menace grave, il ne faut pas se fonder exclusivement sur les termes qu'il a utilisés, mais il faut tenir compte de l'ensemble des circonstances, parce que la menace peut aussi bien résulter d'un geste que d'une allusion. Il faut analyser le comportement de l'auteur dans son ensemble pour déterminer ce que le destinataire était fondé à redouter (B. CORBOZ, Les infractions en droit suisse, 3e éd., Berne 2010, nos 5 et 8 ad art. 180 CP). L'auteur doit avoir l'intention non seulement de proférer des menaces graves, mais aussi d'alarmer ou d'effrayer le destinataire. Le dol éventuel est suffisant (arrêts du</w:t>
      </w:r>
    </w:p>
    <w:p>
      <w:r>
        <w:t>- 11/20 - P/9148/2015 Tribunal fédéral 6B_877/2013 précité et 6B_307/2013 du 13 juin 2013 consid. 5.1 ; B. CORBOZ, op. cit., nos 15, 16 ad art. 180 CP). 2.2.4. Aux termes de l'art. 186 CP, se rend coupable de violation de domicile celui qui, notamment, d'une manière illicite et contre la volonté de l'ayant droit, aura pénétré dans une habitation. 2.3.1. En l'espèce, il est constant que l'intimé C______ a été agressé chez lui par un homme enragé, qui a défoncé la porte de son appartement et s'est montré menaçant à son égard puis a subitement quitté les lieux. La victime, qui n'avait aucune raison d'accuser à tort un homme qu'elle ne connaissait pas, a identifié l'appelant comme étant son agresseur, d'abord sur présentation d'une planche photographique comportant plusieurs visages, puis lors de l'audience de confrontation, ne concédant qu'une petite marge de doute. La défense soutient toutefois que le processus d'identification a été biaisé dès le départ, par l'intervention du concierge de l'immeuble et des gendarmes, qui ont notamment confectionné une planche photo sur laquelle seul l'appelant était un habitant de l'immeuble. Or, à supposer que tel a bien été le cas, à tout le moins en partie, force est de constater que l'identification du prévenu par la victime n'est de loin pas le seul indice à charge. En effet, et c'est l'élément le plus important, l'appelant est mis en cause par sa compagne, qui a affirmé que ce dernier lui avait confié, le soir des faits, qu'il venait de défoncer la porte d'un voisin du quatrième étage. On relèvera à cet égard qu'il ne peut y avoir eu confusion avec l'événement signalé par le voisin D______, cet incident étant intervenu plusieurs jours plus tard et au 2ème étage de l'immeuble. De plus, le témoin E______ faisait ménage commun avec l'appelant à l'époque des faits et n'avait aucune raison d'accabler son compagnon, bien au contraire. Si, à décharge, on peut constater que le couteau n'a semble-t-il pas été retrouvé dans l'appartement de l'appelant, ce qui s'explique notamment par le fait que la perquisition a eu lieu plusieurs jours après les faits, ou que la description de l'agresseur faite par la victime ne correspond pas parfaitement à la physionomie de l'appelant, encore que la différence de taille notamment (entre 180 cm et 190 cm) tient de la nuance, il existe d'autres éléments à charge qui viennent corroborer les déclarations du témoin E______. Il en est ainsi de la correspondance adressée par le prévenu à sa famille et du fait que l'appelant avait déjà agressé un voisin par le passé, après avoir défoncé la porte de son logement, soit selon un modus operandi similaire. On relèvera d'ailleurs que</w:t>
      </w:r>
    </w:p>
    <w:p>
      <w:r>
        <w:t>- 12/20 - P/9148/2015 compte tenu des circonstances du cas d'espèce (le plaignant faisait du bruit chez lui), le mobile de l'agression semble bien relever du conflit de voisinage. De plus, le prévenu n'a aucun alibi et ses déclarations sont confuses et truffées d'idées délirantes, qui s'expliquent certes par sa pathologie, mais qui ôtent toute crédibilité à son récit. Aussi, les éléments du dossier établissent à satisfaction que l'appelant est bien l'auteur des faits. 2.3.2. Il est constant que l'appelant s'est rendu coupable de dommages à la propriété, pour les dégâts qu'il a occasionnés à la porte d'entrée, et de violation de domicile, pour avoir pénétré sans droit, avec violence au demeurant, dans l'appartement de son voisin. 2.3.3. L'infraction de menaces est aussi réalisée. Les propos "je vais te tuer" proférés par un homme visiblement hors de lui, qui a surgi par surprise en brandissant un couteau, présentent une gravité suffisante pour alarmer ou effrayer leur destinataire. Cela est d'autant plus vrai que l'agresseur a proféré ces menaces après avoir défoncé la porte de l'appartement de sa victime, qui se trouvait chez elle. Par son comportement, l'appelant a visiblement effrayé l'intimé C______, qui a immédiatement appelé la police. Le précité a eu de la peine à s'endormir après les faits, a ressenti de l'inquiétude et a mis du temps à s'en remettre. Enfin, comme tout un chacun, l'appelant savait qu'en agissant comme il l'a fait il pouvait effrayer sa victime. 2.3.4. Avec le premier juge, il n'y a pas lieu de douter des premières déclarations de l'intimé C______, qui a affirmé lors de ses deux auditions par la police qu'il avait été poussé en arrière par l'appelant, ajoutant qu'il avait dû se rattraper au cadre de la porte. Les hésitations exprimées ultérieurement, en dernier lieu devant la CPAR deux ans après les faits, sont compréhensibles dans le contexte d'une scène qui s'était déroulée très rapidement et qui avait pris la victime par surprise. Elles ne remettent toutefois pas en cause les indications plus précises fournies dans un premier temps. Enfin, il n'est pas contradictoire d'affirmer, après avoir été agressé par un homme armé d'un couteau, qu'on n'est pas blessé, et d'indiquer en même temps qu'on a été poussé en arrière, les hématomes n'apparaissant que plus tard. Or, les hématomes</w:t>
      </w:r>
    </w:p>
    <w:p>
      <w:r>
        <w:t>- 13/20 - P/9148/2015 constatés par le certificat médical entrent chronologiquement en relation avec l'agression. C'est ainsi à juste titre que l'appelant a été reconnu coupable de lésions corporelles simples. Le verdict de culpabilité sera ainsi entièrement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3.1.3.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 Pour les peines de six mois à une année, la loi prévoit une peine privative de liberté ou une peine pécuniaire (art. 34 al. 1 et 40 1ère phrase CP). Le juge doit donner la préférence à la peine pécuniaire. En effet, le principe de la proportionnalité commande, en cas de sanctions alternatives, de choisir celle qui porte le moins</w:t>
      </w:r>
    </w:p>
    <w:p>
      <w:r>
        <w:t>- 14/20 - P/9148/2015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3.1.4.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(cf. art. 56 al. 2 CP).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3.1.5.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134 IV 1 consid. 3.1 ; arrêts 6B_94/2015 du 24 septembre 2015 consid. 1.1 ; 6B_71/2012 du 21 juin 2012 consid. 6).</w:t>
      </w:r>
    </w:p>
    <w:p>
      <w:r>
        <w:t>- 15/20 - P/9148/2015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(arrêt du Tribunal fédéral 6B_1048/2010 du 11 juin 2011 consid. 6.2 et les références citées). 3.2.1. En l'espèce, la faute de l'appelant est grave. Il s'en est pris à l'intégrité physique, à la liberté et à la propriété d'un voisin qu'il ne connaissait pas, en portant atteinte au sentiment de sécurité qu'une personne est en droit de s'attendre tout particulièrement lorsqu'elle se trouve chez elle. Il a agi par pur égoïsme, en laissant libre cours à ses pulsions agressives, et n'a pas hésité à brandir un couteau, dans le but évident d'intimider et d'effrayer sa victime, sans aucun égard à son ressenti. Les infractions retenues sont toutes passibles d'une peine privative de liberté de trois ans au plus, de sorte que la peine maximale envisageable est de quatre ans et six mois par le jeu du concours d'infractions. Dans un sens aggravant, il faut tenir compte du fait que l'appelant a deux antécédents de violence inscrits à son casier judiciaire, dont l'un est très spécifique puisqu'il s'agit d'une agression sur un voisin, soit des actes similaires à ceux dont il lui est fait reproche dans la présente procédure. Sa collaboration à la procédure a été mauvaise, dans la mesure où il persiste à contester être l'auteur des faits, et sa prise de conscience est inexistante, si l'on songe qu'il a affirmé à l'instruction qu'il avait bien fait d'agresser en son temps le voisin D______. A décharge, il sera retenu que l'appelant, dont la situation sociale est précaire, présente un trouble psychiatrique, notamment des idées délirantes et de persécution qui favorisent le passage à l'acte. D'ailleurs sa responsabilité pénale a été qualifiée de moyennement restreinte, ce qui a un effet atténuant sur la faute, qui passe de grave à moyennement grave. Eu égard à l'ensemble de ces considérations, en particulier à la gravité de la faute, qui reste le critère prépondérant en matière de fixation de la peine, une peine privative de liberté de huit mois représente la sanction adéquate, une peine pécuniaire, déjà prononcée à deux reprises, même si avec sursis, n'apparaissant pas suffisamment dissuasive.</w:t>
      </w:r>
    </w:p>
    <w:p>
      <w:r>
        <w:t>- 16/20 - P/9148/2015 3.2.2. Selon les conclusions cohérentes de l'expert psychiatre, l'appelant présente un risque de récidive élevé de commettre de nouvelles infractions, notamment contre l'intégrité physique de voisins, ce qui exclut le bénéfice du sursis. L'absence de prise de conscience de la gravité des actes commis et les antécédents judiciaires spécifiques confortent cette appréciation et conduisent à retenir un pronostic défavorable. 3.2.3. Aux dires d'expert, un traitement combinant des entretiens psychothérapeutiques et l'administration de neuroleptiques est nécessaire et susceptible de diminuer le risque de récidive. Il est notamment question de traiter les phénomènes hallucinatoires et les idées de persécution qui participent aux agressions, de sorte qu'il convient de confirmer également la mesure ordonnée par le premier juge. Si l'appelant soutient, sans documenter ses dires, qu'il va mieux et n'a plus de problèmes de voisinage, force est de constater qu'il est toujours sous traitement neuroleptique, ce qui tend à confirmer la nécessité d'un traitement. La décision du premier juge de suspendre l'exécution de la peine privative de liberté au profit du traitement ambulatoire est favorable à l'appelant et sera confirmée (art. 391 al. 2 CPP).</w:t>
      </w:r>
    </w:p>
    <w:p>
      <w:r>
        <w:rPr>
          <w:b/>
        </w:rPr>
        <w:t>E. 4</w:t>
      </w:r>
    </w:p>
    <w:p>
      <w:r>
        <w:t>L'appelant, qui succombe, supportera les frais de la procédure envers l'Etat, comprenant un émolument de jugement de CHF 1'500.- (art. 428 CPP et art. 14 al. 1 let. e du Règlement fixant le tarif des frais en matière pénale ; E 4 10.03).</w:t>
      </w:r>
    </w:p>
    <w:p>
      <w:r>
        <w:rPr>
          <w:b/>
        </w:rPr>
        <w:t>E. 5</w:t>
      </w:r>
    </w:p>
    <w:p>
      <w:r>
        <w:t>Vu l'issue de la procédure, l'appelant sera débouté de ses prétentions en indemnisation (art. 429 al. 1 CPP a contrario).</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w:t>
      </w:r>
    </w:p>
    <w:p>
      <w:r>
        <w:t>- 17/20 - P/9148/2015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chef d'étude CHF 200.- (let. c). En cas d'assujettissement, l'équivalent de la TVA est versé en sus.</w:t>
      </w:r>
    </w:p>
    <w:p>
      <w:r>
        <w:t>L'état de frais produit par Me B______, défenseur d'office de l'appelant, est adéquat et sera intégralement pris en compte, à l'exception des frais de photocopie qui sont compris dans le tarif horaire qui prend en considération les frais généraux de l'étude. Par ailleurs, il convient de rectifier la durée de l'audience d'appel, qui était d'une heure et 35 minutes.</w:t>
      </w:r>
    </w:p>
    <w:p>
      <w:r>
        <w:t>L'indemnité sera ainsi arrêtée à CHF 2'548.80 correspondant à 9 heures 50 minutes d'activité au tarif de CHF 200.-/heure, plus la majoration forfaitaire de 20% (CHF 393.40) et l'équivalent de la TVA au taux de 8% en CHF 188.80. * * * * *</w:t>
      </w:r>
    </w:p>
    <w:p>
      <w:r>
        <w:t>- 18/20 - P/9148/2015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