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AARP/383/2022 vom 21. Dezember 2022</w:t>
      </w:r>
    </w:p>
    <w:p>
      <w:r>
        <w:t>GE Cour de justice, 2022-12-21, FR</w:t>
      </w:r>
    </w:p>
    <w:p>
      <w:r>
        <w:rPr>
          <w:b/>
        </w:rPr>
        <w:t xml:space="preserve">Quelle: </w:t>
      </w:r>
      <w:r>
        <w:t>https://mcp.opencaselaw.ch/entscheid/ge_gerichte_AARP_383_2022</w:t>
      </w:r>
    </w:p>
    <w:p>
      <w:r>
        <w:t>FR: GE_GERICHTE AARP/383/2022 du 21 décembre 2022</w:t>
      </w:r>
    </w:p>
    <w:p>
      <w:r>
        <w:t>IT: GE_GERICHTE AARP/383/2022 del 21 dicembre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Commet un abus de confiance au sens de l'art. 138 ch. 1 al. 2 CP, celui qui, sans droit, aura employé à son profit ou au profit d'un tiers, des valeurs patrimoniales qui lui avaient été confiées. Une valeur est confiée lorsque l'auteur a acquis la possibilité d'en disposer, mais que, conformément à un accord (exprès ou tacite) ou un autre rapport juridique, il ne peut en faire qu'un usage déterminé (ATF 133 IV 21 consid. 6.2 p. 27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p. 259 ; arrêts du Tribunal fédéral 6B_279/2017 du 23 janvier 2018 consid. 2.1 ; 6B_20/2017 du 6 septembre 2017 consid. 5.2 ; 6B_356/2016 du 6 mars 2017 consid. 2.1).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(ATF 133 IV 21 consid. 7.2 p. 30 s, arrêt du Tribunal fédéral 6B_312/2009 du 17 juillet 2009). Plus particulièrement en contrat d'entreprise, les acomptes versés par le maître de l'ouvrage à l'entrepreneur constituent des valeurs patrimoniales confiées, pour autant que les parties aient convenu de l'affectation des acomptes, par exemple au règlement des factures relatives à la construction faisant l'objet du contrat (arrêts du Tribunal fédéral 6B_1429/2019 du 5 février 2020 consid. 2.3. ; 6B_972/2018 du 20 novembre 2018 consid. 2.2.1 ; 6B_160/2012 du 5 avril 2013 consid. 2.2).</w:t>
      </w:r>
    </w:p>
    <w:p>
      <w:r>
        <w:t>2.1.2. L'art. 146 CP, initialement retenu dans l'ordonnance pénale, dispose que se rend coupable d'escroquerie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- 7/14 - P/24952/2017 Celui qui promet une prestation sans avoir l'intention de l'exécuter agit astucieusement parce qu'en promettant, il donne le change sur ses véritables intentions, ce que sa victime est dans l'impossibilité de vérifier (ATF 118 IV 359 consid. 2 p. 360 s.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Il est trop schématique d'affirmer que la volonté affichée est un phénomène intérieur invérifiable et qu'une tromperie relative à cette volonté est toujours astucieuse (ATF 118 IV 359 consid. 2 p. 361 ; arrêt du Tribunal fédéral 6B_584/2018 du 30 août 2018 consid. 2.1). En principe, les faits futurs, dans la mesure où leur survenance est incertaine, ne peuvent donner lieu à une tromperie, même si la personne ne livre pas son véritable pronostic. Ainsi, le vendeur qui laisse entendre, par la conclusion d'un contrat et l'encaissement d'un acompte, être en mesure de livrer la marchandise dans le délai convenu, ne commet pas de tromperie (A. MACALUSO / L. MOREILLON / N. QUELOZ [éds], Commentaire romand, Code pénal II, Bâle 2017, n. 10 ad art. 146). Cela étant,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sa solvabilité ; l'escroquerie a donc été niée (ATF 142 IV 153 ; arrêt du Tribunal fédéral 6B_584/2018 du 30 août 2018 consid. 2.1). L'emprunteur qui a l'intention de rembourser son bailleur de fonds n'agit pas astucieusement lorsqu'il ne l'informe pas spontanément de son insolvabilité (ATF 86 IV 205). Il en va en revanche différemment lorsque l'auteur présente une fausse vision de la réalité de manière à dissuader le prêteur de se renseigner sur sa situation financière ou lorsque des circonstances particulières font admettre à l'auteur que le prêteur ne posera pas de questions sur ce point (ATF 86 IV 206 ; arrêts du Tribunal fédéral 6B_817/2018 du 23 octobre 2018 consid. 2.4.1 et les références ; 6P_113/2006 du 27 septembre 2006 consid. 6.1). 2.2.1. En l'espèce, il peut d'emblée être relevé que les explications de l'appelant paraissent douteuses. Il n'a fourni aucun document prouvant qu'il a bel et bien passé commande de la douche qui devait être installée chez ses clients et a livré des explications changeantes sur les raisons du retard de cette installation. Il ne conteste d'ailleurs au final pas avoir utilisé l'acompte versé pour couvrir d'autres charges.</w:t>
      </w:r>
    </w:p>
    <w:p>
      <w:r>
        <w:t>- 8/14 - P/24952/2017</w:t>
      </w:r>
    </w:p>
    <w:p>
      <w:r>
        <w:t>Cela étant, rien ne vient établir que l'acompte versé était destiné à un usage déterminé. En particulier, aucun contrat écrit n'a été conclu et le seul mail du</w:t>
      </w:r>
    </w:p>
    <w:p>
      <w:r>
        <w:rPr>
          <w:b/>
        </w:rPr>
        <w:t>E. 4</w:t>
      </w:r>
    </w:p>
    <w:p>
      <w:r>
        <w:t>L'appel ayant été admis en bonne partie, l'appelant ne sera condamné qu'à 1/3 des frais de la procédure d'appel (art. 428 CPP).</w:t>
      </w:r>
    </w:p>
    <w:p>
      <w:r>
        <w:t>Les frais de première instance seront par ailleurs revus (art. 428 al. 3 CPP) en ce qu'ils ne seront mis à charge de l'appelant qu'à raison de la moitié, soit CHF 1'048.25 sur un total de CHF 2'096.50, et que l'émolument complémentaire de jugement de CHF 800.- ne sera mis à charge de l'appelant qu'à raison d'1/3.</w:t>
      </w:r>
    </w:p>
    <w:p>
      <w:r>
        <w:rPr>
          <w:b/>
        </w:rPr>
        <w:t>E. 5.1</w:t>
      </w:r>
    </w:p>
    <w:p>
      <w:r>
        <w:t>Considéré globalement, l'état de frais produit par Me C______, défenseur d'office de A______, satisfait les exigences légales et jurisprudentielles régissant l'assistance judiciaire gratuite en matière pénale.</w:t>
      </w:r>
    </w:p>
    <w:p>
      <w:r>
        <w:t>La rémunération de Me C______ sera partant arrêtée à CHF 912.20, correspondant à sept heures d'activité au tarif de CHF 110.-/heure, plus la majoration forfaitaire de 10% et l'équivalent de la TVA au taux de 7.7% en CHF 65.20. * * * * *</w:t>
      </w:r>
    </w:p>
    <w:p>
      <w:r>
        <w:t>- 12/14 - P/24952/2017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