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AARP/382/2024 vom 23. Oktober 2024</w:t>
      </w:r>
    </w:p>
    <w:p>
      <w:r>
        <w:t>GE Cour de justice, 2024-10-23, FR</w:t>
      </w:r>
    </w:p>
    <w:p>
      <w:r>
        <w:rPr>
          <w:b/>
        </w:rPr>
        <w:t xml:space="preserve">Quelle: </w:t>
      </w:r>
      <w:r>
        <w:t>https://mcp.opencaselaw.ch/entscheid/ge_gerichte_AARP_382_2024</w:t>
      </w:r>
    </w:p>
    <w:p>
      <w:r>
        <w:t>FR: GE_GERICHTE AARP/382/2024 du 23 octobre 2024</w:t>
      </w:r>
    </w:p>
    <w:p>
      <w:r>
        <w:t>IT: GE_GERICHTE AARP/382/2024 del 23 ottobre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et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- 7/16 - P/10222/2022 toujours possibles, une certitude absolue ne pouvant être exigée. Il doit s'agir de doutes sérieux et irréductibles, c'est-à-dire de doutes qui s'imposent à l'esprit en fonction de la situation objective (ATF 138 V 74 consid. 7 ; 127 I 38 consid. 2a ; 124 IV 86 consid. 2a). 2.2.1. L'art. 186 CP, punit,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Cette infraction est incorporée dans le Titre quatrième, réprimant les crimes et délits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118 IV 167 consid. 1c ; 112 IV 31 consid. 3).</w:t>
      </w:r>
    </w:p>
    <w:p>
      <w:r>
        <w:t>En concluant un contrat de bail, le bailleur renonce à son droit au domicile, de sorte que, pendant la durée du contrat, seul le locataire, respectivement le sous-locataire, dispose de la qualité d'ayant droit au sens de l'art. 186 CP, qualité qu'il conserve aussi longtemps qu'il n'a pas quitté les lieux, quand bien même il y demeure sans droit. La violation du contrat de bail à loyer par le locataire touche en effet aux prétentions de droit civil du bailleur et du propriétaire, mais n'empiète pas sur la sphère privée qui est l'objet de la liberté de domicile protégée par le droit pénal. Dans de tels cas, le bailleur ne pourra donc avoir recours qu'aux moyens offerts par la procédure civile et le droit de la poursuite pour dettes et faillite (ATF 118 IV 167 consid. 1c ; 112 IV 31 consid. 3 ; M. DUPUIS / L. MOREILLON / C. PIGUET / S. BERGER / M. MAZOU / V. RODIGARI [éds], Code pénal - Petit commentaire, 2ème éd., Bâle 2017, n. 21 ad art. 186; F.-R. STRASSER, Squatters et violation de domicile : réponses données à quelques idées reçues, in AJP/PJA 8/93 pp 929-940, p. 935).</w:t>
      </w:r>
    </w:p>
    <w:p>
      <w:r>
        <w:t>2.2.2. La violation de domicile n'est punissable que si elle est commise intentionnellement. L'intention comprend la conscience du fait que l'on pénètre ou que l'on demeure contre la volonté de l'ayant droit ; les mobiles de l'auteur importent peu (A. MACALUSO / L. MOREILLON / N. QUELOZ (éds), Commentaire romand, Code pénal II, vol. II, Partie spéciale : art. 111-392 CP, Bâle 2017, n° 45 ad art. 186). Le dol éventuel suffit (art. 12 al. 2 CP ; ATF 108 IV 33 consid. 5c). Il y a dol éventuel lorsque l'auteur, qui ne veut pas le résultat dommageable pour lui- même, envisage le résultat de son acte comme possible et l'accepte au cas où il se produirait, mais également lorsque le résultat dommageable s'impose à l'auteur de</w:t>
      </w:r>
    </w:p>
    <w:p>
      <w:r>
        <w:t>- 8/16 - P/10222/2022 manière si vraisemblable que son comportement ne peut raisonnablement être interprété que comme l'acceptation de ce résultat (ATF 137 IV 1 consid. 4.2.3 ; 133 IV 9 consid. 4.1 ; 131 IV 1 consid. 2.2 ; arrêt du Tribunal fédéral 6B_718/2017 du 17 janvier 2018 consid. 2.1).</w:t>
      </w:r>
    </w:p>
    <w:p>
      <w:r>
        <w:t>2.3.1. L'art. 181 CP vise, du chef de contrainte, quiconque, en usant de violence envers une personne ou en la menaçant d'un dommage sérieux, ou en l'entravant de quelque autre manière dans sa liberté d'action, l'oblige à faire, à ne pas faire ou à laisser faire un acte.</w:t>
      </w:r>
    </w:p>
    <w:p>
      <w:r>
        <w:t>Le fait, pour un bailleur, de changer les serrures d'un appartement pour empêcher le locataire d'y pénétrer, mettant de la sorte, de facto, une fin prématurée au contrat de bail, est constitutif de contrainte au sens de cette disposition (arrêt du Tribunal fédéral 6B_334/2023 du 16 août 2023 consid. 3.3). Cela vaut y compris lorsque le bail a été résilié, mais qu'une procédure en contestation du congé est pendante (arrêts du Tribunal fédéral 4A_499/2013 du 4 février 2014 consid. 3.3.3 et 6B_8/2010 du 29 mars 2010 consid. 2.2.2).</w:t>
      </w:r>
    </w:p>
    <w:p>
      <w:r>
        <w:t>2.3.2. Sur le plan subjectif, il faut que l'auteur ait agi avec conscience et volonté, soit au moins qu'il ait accepté l'éventualité que le procédé soit illicite et entrave le destinataire dans sa liberté de décision (ATF 120 IV 17 consid. 2c). Le dol éventuel suffit (arrêt du Tribunal fédéral 6B_406/2020 du 20 août 2020 consid. 2.1).</w:t>
      </w:r>
    </w:p>
    <w:p>
      <w:r>
        <w:rPr>
          <w:b/>
        </w:rPr>
        <w:t>E. 2.4</w:t>
      </w:r>
    </w:p>
    <w:p>
      <w:r>
        <w:t>L'appelant invoque l'erreur sur les faits et sur l'illicéité.</w:t>
      </w:r>
    </w:p>
    <w:p>
      <w:r>
        <w:rPr>
          <w:b/>
        </w:rPr>
        <w:t>E. 2.4.1</w:t>
      </w:r>
    </w:p>
    <w:p>
      <w:r>
        <w:t>Selon l'art. 21 CP, quiconque ne sait ni ne peut savoir au moment d'agir que son comportement est illicite n'agit pas de manière coupable. Le juge atténue la peine si l'erreur était évitable.</w:t>
      </w:r>
    </w:p>
    <w:p>
      <w:r>
        <w:t>L'erreur sur l'illicéité vise le cas où l'auteur agit en ayant connaissance de tous les éléments constitutifs de l'infraction, et donc avec intention, mais en croyant par erreur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La possibilité théorique d'apprécier correctement la situation ne suffit pas à exclure l'application de l'art. 21 1ère phrase CP. Ce qui est déterminant c'est de savoir si l'erreur de l'auteur peut lui être reprochée.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(arrêt</w:t>
      </w:r>
    </w:p>
    <w:p>
      <w:r>
        <w:t>- 9/16 - P/10222/2022 du Tribunal fédéral 6B_716/2018 du 23 octobre 2018 consid. 1.1). Le caractère évitable de l'erreur doit être examiné en tenant compte des circonstances personnelles de l'auteur, telles que son degré de socialisation ou d'intégration (arrêt du Tribunal fédéral 6B_1102/2015 du 20 juillet 2016 consid. 4.1). Le renseignement ou l'instruction par une autorité compétente peut suffire pour admettre l'erreur sur l'illicéité (ATF 116 IV 56 consid. 3a ; 98 IV 279 consid. 2a).</w:t>
      </w:r>
    </w:p>
    <w:p>
      <w:r>
        <w:rPr>
          <w:b/>
        </w:rPr>
        <w:t>E. 2.4.2</w:t>
      </w:r>
    </w:p>
    <w:p>
      <w:r>
        <w:t>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 ci lui est favorable (13 al. 1 CP). La délimitation entre erreur sur les faits et erreur de droit ne dépend pas du fait que l'appréciation erronée porte sur une question de droit ou des faits. Est une erreur sur les faits, et non une erreur de droit, non seulement celle portant sur les éléments descriptifs, mais également l'appréciation erronée des éléments de nature juridique constitutifs de l'infraction (ATF 129 IV 238 consid. 3.1 et 3.2 ; arrêt du Tribunal fédéral 6B_943/2019 du 7 février 2020 consid. 4.1).</w:t>
      </w:r>
    </w:p>
    <w:p>
      <w:r>
        <w:rPr>
          <w:b/>
        </w:rPr>
        <w:t>E. 2.5</w:t>
      </w:r>
    </w:p>
    <w:p>
      <w:r>
        <w:t>En l'espèce, l'appelant admet qu'il a sous-loué son studio à l'intimé. Le fait qu'il s'y soit rendu à plusieurs reprises pour discuter avec ce dernier atteste du fait que celui-ci y résidait. Que l'intimé ait pu loger occasionnellement chez son amie et/ou, à son tour, sous-louer de temps à autres le logement à des tiers, ne permet dès lors pas de lui dénier la qualité d'ayant droit des lieux. Du propre aveu de l'appelant, l'intimé lui a par ailleurs clairement fait comprendre qu'il n'avait pas l'intention de quitter les lieux. En réintégrant ce logement après en avoir fait expulser l'intéressé par la police, l'appelant a donc réalisé les éléments constitutifs tant objectifs que subjectif de l'infraction de violation de domicile. La présentation, par l'intimé, de documents falsifiés au TBL pour obtenir une ordonnance qui lui soit favorable, n'y change rien, le fait que le contrat de bail liant les parties n'ait été conclu qu'oralement n'affectant pas sa validité (arrêt du Tribunal fédéral 4A_415/2017 du 31 octobre 2017 consid. 3.3).</w:t>
      </w:r>
    </w:p>
    <w:p>
      <w:r>
        <w:t>En changeant les serrures de l'appartement, empêchant de facto l'intimé d'y revenir, l'appelant a par ailleurs réalisé les éléments constitutifs de l'infraction de contrainte, celle-ci ne nécessitant pas, contrairement à ce qu'il semble soutenir, d'usage de violence et l'intimé ayant manifestement été entravé dans sa liberté d'action, puisqu'il a été contraint d'agir en justice pour recouvrer la possession de son domicile.</w:t>
      </w:r>
    </w:p>
    <w:p>
      <w:r>
        <w:t>- 10/16 - P/10222/2022</w:t>
      </w:r>
    </w:p>
    <w:p>
      <w:r>
        <w:t>Au vu de ces éléments, l'existence d'une erreur sur les faits au sens de l'art. 13 CP doit être niée.</w:t>
      </w:r>
    </w:p>
    <w:p>
      <w:r>
        <w:t>L'appelant prétend avoir été autorisé à reprendre possession des lieux par la police et n'avoir donc eu ni conscience, ni volonté de commettre un acte illicite, moyen qui relève de l'art. 21 CP.</w:t>
      </w:r>
    </w:p>
    <w:p>
      <w:r>
        <w:t>Le rapport de police du 2 juin 2022, s'il confirme le conflit entre les parties, la qualité de locataire de l'appelant et celle de "sous-locataire non-officiel" de l'intimé, ne précise toutefois pas l'issue de celui-ci. Il ne mentionne en particulier pas que les agents auraient assuré au premier nommé qu'il pouvait reprendre possession de l'appartement et au second qu'il devait libérer les lieux.</w:t>
      </w:r>
    </w:p>
    <w:p>
      <w:r>
        <w:t>Le rapport ne mentionne par ailleurs pas l'existence de témoins et, entendu par la police, l'appelant a reconnu que l'ami croisé en bas de l'immeuble n'était pas monté et n'avait pas assisté à l'altercation. Compte tenu de cet élément et de la proximité entre l'appelant et ce dernier, les déclarations de F______ devant le premier juge doivent être examinées avec circonspection et ne sauraient, à elles seules, suffire à attester de la véracité de la version de l'appelant.</w:t>
      </w:r>
    </w:p>
    <w:p>
      <w:r>
        <w:t>À cela s'ajoute que l'appelant, qui vit depuis plus de dix ans en Suisse, ne saurait soutenir s'être cru de bonne foi en droit d'agir comme il l'a fait. Il eût à tout le moins dû avoir un doute quant à la licéité de son comportement et s'en assurer au préalable, par exemple auprès de l'association suisse des locataires (ASLOCA), dont la compétence est de notoriété publique.</w:t>
      </w:r>
    </w:p>
    <w:p>
      <w:r>
        <w:t>L'erreur de droit doit dès lors également être niée.</w:t>
      </w:r>
    </w:p>
    <w:p>
      <w:r>
        <w:t>La culpabilité de l'appelant des chefs de violation de domicile et de contrainte doit dès lors être confirmée.</w:t>
      </w:r>
    </w:p>
    <w:p>
      <w:r>
        <w:rPr>
          <w:b/>
        </w:rPr>
        <w:t>E. 3.1</w:t>
      </w:r>
    </w:p>
    <w:p>
      <w:r>
        <w:t>Les infractions de contrainte et de violation de domicile sont toutes deux punies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- 11/16 - P/10222/2022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Si, en raison d'un ou de plusieurs actes, l'auteur remplit les conditions de plusieurs peines de même genre, le juge le condamne à la peine de l'infraction la plus grave et l'augmente dans une juste proportion (art. 49 al. 1 CP).</w:t>
      </w:r>
    </w:p>
    <w:p>
      <w:r>
        <w:rPr>
          <w:b/>
        </w:rPr>
        <w:t>E. 3.4</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w:t>
      </w:r>
    </w:p>
    <w:p>
      <w:r>
        <w:rPr>
          <w:b/>
        </w:rPr>
        <w:t>E. 3.5</w:t>
      </w:r>
    </w:p>
    <w:p>
      <w:r>
        <w:t>En l'espèce, la faute de l'appelant est de gravité moyenne. Plutôt que de suivre les procédures mises en place pour obtenir le paiement du loyer et/ou le départ de son locataire, il a préféré se faire justice lui-même. Il y a par ailleurs concours d'infractions.</w:t>
      </w:r>
    </w:p>
    <w:p>
      <w:r>
        <w:t>- 12/16 - P/10222/2022 À sa décharge, l'on tiendra compte du fait que les arriérés de loyer accumulés par l'intimé le plaçaient dans une situation financière difficile et que lui-même, à la suite des faits, s'est retrouvé sans logement. L'absence d'antécédent a quant à elle un effet neutre sur la peine. Au vu de ce qui précède, le choix d'une peine pécuniaire apparaît adéquat. Celle-ci sera ainsi fixée à 30 jours-amende pour la violation de domicile et à 20 jours-amende pour l'infraction de contrainte (peine théorique : 30 jours-amendes). Le montant du jour-amende n'est pas remis en cause par l'appelant. Le sursis, dont les conditions sont au demeurant réalisées, lui est acquis. Ni le principe, ni le montant de l'amende immédiate ne sont discutés, de sorte qu'elle sera confirmée. L'appel sera ainsi entièrement rejeté.</w:t>
      </w:r>
    </w:p>
    <w:p>
      <w:r>
        <w:rPr>
          <w:b/>
        </w:rPr>
        <w:t>E. 4.1</w:t>
      </w:r>
    </w:p>
    <w:p>
      <w:r>
        <w:t>L'appelant, qui succombe, supportera les frais de la procédure d'appel envers l'État, lesquels comprennent un émolument de CHF 1'000.- (art. 428 CPP).</w:t>
      </w:r>
    </w:p>
    <w:p>
      <w:r>
        <w:rPr>
          <w:b/>
        </w:rPr>
        <w:t>E. 4.2</w:t>
      </w:r>
    </w:p>
    <w:p>
      <w:r>
        <w:t>Vu l'issue de l'appel, ses prétentions en indemnisation fondées sur l'art. 429 CPP seront rejetées.</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débours de l'étude inclus.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w:t>
      </w:r>
    </w:p>
    <w:p>
      <w:r>
        <w:t>- 13/16 - P/10222/2022</w:t>
      </w:r>
    </w:p>
    <w:p>
      <w:r>
        <w:rPr>
          <w:b/>
        </w:rPr>
        <w:t>E. 5.2</w:t>
      </w:r>
    </w:p>
    <w:p>
      <w:r>
        <w:t>En l'occurrence, une seule conférence avec le client, d'une durée de 60 minutes, apparaît justifiée, s'agissant d'une procédure écrite ne présentant aucun élément nouveau par rapport à la procédure de première instance. Pour les mêmes motifs, il ne sera pas tenu compte de la relecture intégrale du dossier, l'affaire ne présentant pas de complexité particulière et étant supposée connue de l'avocat, pour avoir été plaidée en première instance. La rédaction de la déclaration d'appel est quant à elle comprise dans le forfait (ordonnance de la Cour des plaintes du Tribunal pénal fédéral BB.2014.51 du 21 novembre 2014 consid. 2.1 ; décisions de la Cour des plaintes du Tribunal pénal fédéral BB.2013.165 du 24 janvier 2014 consid. 4.1.3 et BB.2013.127 du 4 décembre 2013 consid. 4.2).</w:t>
      </w:r>
    </w:p>
    <w:p>
      <w:r>
        <w:t>En conclusion, la rémunération sera arrêtée à CHF 2'334.95 TTC, correspondant à neuf heures d'activité au tarif de CHF 200.-/heure (1h00 d'entretien et 8h00 pour la rédaction du mémoire d'appel, soit CHF 1'800.-), plus la majoration forfaitaire de 20% (CHF 360.-) et l'équivalent de la TVA au taux de 8.1% (CHF 174.95). * * * * *</w:t>
      </w:r>
    </w:p>
    <w:p>
      <w:r>
        <w:t>- 14/16 - P/10222/2022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