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AARP/382/2014 vom 13. August 2014</w:t>
      </w:r>
    </w:p>
    <w:p>
      <w:r>
        <w:t>GE Cour de justice, 2014-08-13, FR</w:t>
      </w:r>
    </w:p>
    <w:p>
      <w:r>
        <w:rPr>
          <w:b/>
        </w:rPr>
        <w:t xml:space="preserve">Quelle: </w:t>
      </w:r>
      <w:r>
        <w:t>https://mcp.opencaselaw.ch/entscheid/ge_gerichte_AARP_382_2014</w:t>
      </w:r>
    </w:p>
    <w:p>
      <w:r>
        <w:t>FR: GE_GERICHTE AARP/382/2014 du 13 août 2014</w:t>
      </w:r>
    </w:p>
    <w:p>
      <w:r>
        <w:t>IT: GE_GERICHTE AARP/382/2014 del 13 agosto 2014</w:t>
      </w:r>
    </w:p>
    <w:p>
      <w:pPr>
        <w:pStyle w:val="Heading2"/>
      </w:pPr>
      <w:r>
        <w:t>Erwägungen</w:t>
      </w:r>
    </w:p>
    <w:p>
      <w:r>
        <w:rPr>
          <w:b/>
        </w:rPr>
        <w:t>E. 21</w:t>
      </w:r>
    </w:p>
    <w:p>
      <w:r>
        <w:t>décembre 2012 consid. 3.3),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Dans les faits, presque tout objet d'une certaine robustesse, solidité et dureté peut devenir dangereux lors d'une altercation, lorsqu'il est justement utilisé d'une manière dangereuse (M. NIGGLI / H. WIPRÄCHTIGER, Basler Kommentar Strafrecht I : Art. 1-110 StGB, Jugendstrafgesetz, 3e éd., Bâle 2013, n° 21 ad Art. 123).</w:t>
      </w:r>
    </w:p>
    <w:p>
      <w:r>
        <w:t>2.2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w:t>
      </w:r>
    </w:p>
    <w:p>
      <w:r>
        <w:t>- 11/19 - P/6442/2013 conséquences effectives des actes commis (ATF 121 IV 49 consid. 1b p. 54-55 ; arrêt du Tribunal fédéral 6B_708/2008 du 22 octobre 2008 consid. 3.4.). Dans le cas d'une tentative de meurtre ayant provoqué des lésions corporelles graves, le minimum légal de l'art. 122 CP doit être pris en considération pour la fixation de la peine, celle-ci ne pouvant être inférieure à celle qui aurait été prononcée pour les seules lésions (ATF 137 IV 113 = JdT 2011 IV 391 consid. 1.4 p. 394-395 et les références citées). La tentative suppose que l'auteur réalise tous les éléments subjectifs de l'infraction et qu'il manifeste sa décision de la commettre, mais sans en réaliser tous les éléments objectifs (ATF 131 IV 100 consid. 7.2.1 p. 103 ; ATF 128 IV 18 consid. 3b p. 21). La jurisprudence a affirmé à plusieurs reprises que l’équivalence des deux formes de dol - direct et éventuel - s’appliquait également à la tentative (ATF 137 IV 133 consid. 1.4.2 p. 115 ; ATF 122 IV 246 consid. 3a p. 246), notamment de meurtre ou d'assassinat (ATF 112 IV 65 consid. 3b p. 66 ; arrêts du Tribunal fédéral 6B_246/2012 du 10 juillet 2012 consid. 1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1.2 et 1.3).</w:t>
      </w:r>
    </w:p>
    <w:p>
      <w:r>
        <w:t>2.3 Quiconque, de manière contraire au droit, est attaqué ou menacé d’une attaque imminente a le droit de repousser l’attaque par des moyens proportionnés aux circonstances ; le même droit appartient aux tiers (art. 15 CP). 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ATF 104 IV 232 consid. c p. 236/237). Cette condition n'est pas réalisée lorsque l'attaque a cessé ou qu'il n'y a pas encore lieu de s'y attendre (ATF 93 IV 83).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83/84). L’art. 15 CP ne peut être invoqué par le provocateur qui fait en sorte</w:t>
      </w:r>
    </w:p>
    <w:p>
      <w:r>
        <w:t>- 12/19 - P/6442/2013 d’être attaqué pour pouvoir porter atteinte aux biens juridiques de tiers sous le couvert de la légitime défense (ATF 104 IV 53).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La défense choisie doit être la moins dommageable. Par contre, la défense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soit lorsqu'il n'était pas possible de repousser l'attaque avec des moyens moins dangereux et plus raisonnables, que l'auteur a, le cas échéant, reçu une sommation et que la personne attaquée, avant d'utiliser l'instrument dangereux, a fait le nécessaire pour éviter un préjudice excessif (ATF 136 IV 49 consid. 3 et 4 ; JT 2010 IV 159). Participe à une rixe et ne peut se prévaloir de la légitime défense celui qui ne se distancie pas des participants à une rixe et qui donne un coup de poing à l'un d'entre eux (arrêt du Tribunal fédéral 6B_62/2008 du 17 juin 2008 cité in BJP 2008 n° 449).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w:t>
      </w:r>
    </w:p>
    <w:p>
      <w:r>
        <w:t>- 13/19 - P/6442/2013 d’examiner si la version des faits invoquée par l’accusé pour justifier la licéité de ses actes apparaît crédible et plausible eu égard à l’ensemble des circonstances (G. PIQUEREZ / A. MACALUSO, Procédure pénale suisse, 3e édition, Zurich 2011, n. 555, p. 189).</w:t>
      </w:r>
    </w:p>
    <w:p>
      <w:r>
        <w:t>2.4 En l’espèce, l’appelant a approché successivement l’intimé B______, puis l’intimé C______.</w:t>
      </w:r>
    </w:p>
    <w:p>
      <w:r>
        <w:t>Dans les deux cas, il avait un air menaçant et a adopté une attitude agressive, ayant provoqué une réaction de défiance de la part des deux parties plaignantes.</w:t>
      </w:r>
    </w:p>
    <w:p>
      <w:r>
        <w:t>En ce qui concerne les faits au préjudice de l’intimé B______, les conditions d’une légitime défense excessive, excusable ou pas, ne sont manifestement pas réalisées, étant rappelé que le fardeau de la preuve d’un fait justificatif incombe à la défense.</w:t>
      </w:r>
    </w:p>
    <w:p>
      <w:r>
        <w:t>L’appelant ne conteste pas que c’est lui qui a abordé la partie plaignante et son amie sur un mode agressif, provoquant la réaction de l’intimé B______ visant à le faire chuter. Cet acte s’est achevé par son accomplissement, rien n’indiquant que l’intimé B______ s’apprêtait à s’en prendre davantage à l’appelant. Affirmant n’avoir aucun souvenir des faits, l’intéressé ne le prétend d’ailleurs pas, se contentant de soutenir, par la bouche de son défenseur, qu’il a pu se croire menacé en raison de son état. Aussi, au moment où il s’en est pris à la partie plaignante à coups de couteau, l’appelant n’agissait nullement par légitime défense.</w:t>
      </w:r>
    </w:p>
    <w:p>
      <w:r>
        <w:t>En ce qui concerne l’altercation avec l’intimé C______, il est vrai que la chronologie des faits telle que décrite par ce dernier diverge partiellement de celle découlant des autres éléments du dossier. Qu’elle soit due à sa perception des faits ou volontaire, cette circonstance ne suffit pas pour retenir que dans cette occurrence l’appelant a agi en état de légitime défense. Il demeure en effet dans ce cas également que rien, et singulièrement pas le récit inexistant de l’appelant, ne permet de penser que l’intimé C______ entendait faire plus que gifler ce dernier. L’attaque, si attaque il y a eu, avait donc pris fin lorsque celui-ci s’en est pris à lui, ici encore à coups de couteau, et est cette fois parvenu à causer des blessures.</w:t>
      </w:r>
    </w:p>
    <w:p>
      <w:r>
        <w:t>Au vu de ce qui précède, le jugement entrepris sera confirmé quant au verdict de culpabilité prononcé. 3) 3.1.1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w:t>
      </w:r>
    </w:p>
    <w:p>
      <w:r>
        <w:t>- 14/19 - P/6442/2013 dans laquelle celui-ci aurait pu éviter la mise en danger ou la lésion, compte tenu de sa situation personnelle et des circonstances extérieures (al. 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3.1.2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w:t>
      </w:r>
    </w:p>
    <w:p>
      <w:r>
        <w:t>- 15/19 - P/6442/2013 3.1.3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3.2.1 L'infraction de lésions corporelles simples aggravées (art. 123 ch. 2 CP) est passible d'une peine privative de liberté de trois ans au plus ou d'une peine pécuniaire. Quant au séjour illégal, que l’appelant reconnaît, il est puni d'une peine privative de liberté d'un an au plus ou d'une peine pécuniaire. 3.2.2 En l'espèce, la faute de l'appelant est lourde. Il s’en est pris à l’intégrité physique de l’intimé C______, après avoir tenté de s’en prendre à celle de l’intimé B______, faisant preuve d’une détermination certaine. Ce n’est que grâce aux réflexes défensifs du plaignant B______ que celui-ci n’a pas été également touché. Vu l’amnésie alléguée de l’appelant, ses mobiles sont inconnus. La situation tend toutefois à en démontrer la futilité, de sorte qu’ils relèvent d’une méchanceté irrationnelle. La collaboration de l'appelant à la procédure a été inexistante. A l’arrivée de la police sur les lieux, il a fui. Pendant toute la procédure, il a répété n’avoir aucun souvenir des faits reprochés – même confronté à l’évidence –, tout en rejetant la faute sur les parties plaignantes. Il n'a absolument pas pris conscience de la gravité de ses actes et conditionne ses excuses à la preuve de la réalité des faits qu’il n’accepte pas. La responsabilité faiblement restreinte du prévenu, admise en première instance, sera prise en compte comme facteur d’atténuation de la peine. Il y a concours d'infractions. Les antécédents judiciaires de l’appelant sont mauvais. Il a déjà été condamné à plusieurs reprises pour des actes similaires, ce qui ne l'a pas empêché de récidiver. Au contraire, il y a une aggravation des infractions commises. Au lieu de tirer les conséquences d'une situation administrative précaire et sans grand espoir de changement, l'appelant a persisté dans la délinquance.</w:t>
      </w:r>
    </w:p>
    <w:p>
      <w:r>
        <w:t>- 16/19 - P/6442/2013 Au vu de ce qui précède, la sanction infligée par le premier juge est adéquate et correspond à la faute de l’intéressé au regard des éléments susmentionnés, de sorte qu’elle sera confirmée. 4) 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4.2 Se fondant sur les constations et conclusions de l’expert, le premier juge a retenu qu’il se justifiait d’ordonner en faveur de l’appelant l’une des mesures prévues aux art. 56 ss, notamment 63 CP. A cet égard, les conclusions de l’appelant tendant au suivi volontaire d’un traitement psychiatrique ambulatoire ne peuvent être validées, compte tenu du refus manifeste de celui-ci de se faire soigner, vu ses déclarations par-devant la Cour. Le jugement attaqué doit donc également être confirmé sur ce point et l’appel, rejeté.</w:t>
      </w:r>
    </w:p>
    <w:p>
      <w:r>
        <w:t>- 17/19 - P/6442/2013 5) L'appelant, qui succombe, supportera les frais de la procédure envers l'État, comprenant un émolument de CHF 1'200.- (art. 428 CPP). * * * * *</w:t>
      </w:r>
    </w:p>
    <w:p>
      <w:r>
        <w:t>- 18/19 - P/6442/2013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