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AARP/381/2019 vom 4. November 2019</w:t>
      </w:r>
    </w:p>
    <w:p>
      <w:r>
        <w:t>GE Cour de justice, 2019-11-04, FR</w:t>
      </w:r>
    </w:p>
    <w:p>
      <w:r>
        <w:rPr>
          <w:b/>
        </w:rPr>
        <w:t xml:space="preserve">Quelle: </w:t>
      </w:r>
      <w:r>
        <w:t>https://mcp.opencaselaw.ch/entscheid/ge_gerichte_AARP_381_2019</w:t>
      </w:r>
    </w:p>
    <w:p>
      <w:r>
        <w:t>FR: GE_GERICHTE AARP/381/2019 du 4 novembre 2019</w:t>
      </w:r>
    </w:p>
    <w:p>
      <w:r>
        <w:t>IT: GE_GERICHTE AARP/381/2019 del 4 novembre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- 6/11 - P/20262/2017</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Selon l’art. 285 ch. 1 CP, se rend coupable de violence ou menace contre les autorités et les fonctionnaires celui qui, en usant de violence ou de menace, empêche une autorité, un membre d’une autorité ou un fonctionnaire de faire un acte entrant dans ses fonctions, les contraint à faire un tel acte ou se livre à des voies de fait sur eux pendant qu’ils y procédaient. Cette disposition réprime ainsi deux infractions différentes : la contrainte contre les autorités ou fonctionnaires et les voies de fait contre les autorités ou fonctionnaires. Selon la première variante de l'art. 285 ch. 1 CP, l'auteur empêche, par la violence ou</w:t>
      </w:r>
    </w:p>
    <w:p>
      <w:r>
        <w:t>- 7/11 - P/20262/2017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La menace correspond à celle de l'art. 181 CP, étant précisé que la doctrine dominante admet qu’il faut en déduire la menace d’un dommage sérieux (MOREILLON, Petit commentaire, n. 10 ad art. 285 CP ; NIGGLI [eds], BSK Strafrecht II, n. 10 s.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n. 11 ad art. 285 CP).</w:t>
      </w:r>
    </w:p>
    <w:p>
      <w:r>
        <w:rPr>
          <w:b/>
        </w:rPr>
        <w:t>E. 2.3</w:t>
      </w:r>
    </w:p>
    <w:p>
      <w:r>
        <w:t>En l’espèce, l’appelant conteste avoir utilisé le verbe "abattre" en visant une personne. Or, l’appelant a admis s’être adressé, au cours de la discussion, à F______, qui seul aurait donc pu se sentir concerné. Contrairement à la position qu'il défend, rien ne démontre qu’il a voulu exclusivement associer ce terme au règlement litigieux, étant précisé que le sens du verbe "abattre" est largement univoque lorsqu’il est associé à une personne, à savoir "tuer". La bonne maîtrise de la langue française de l'appelant, comme le démontrent ses courriers à la Chambre administrative, et le fait que plusieurs personnes aient mentionné ne pas avoir entendu les propos litigieux n'exclut nullement qu'ils aient été prononcés, ce d'autant plus que l'appelant reconnaît lui-même avoir utilisé le mot "abattre". Ils ne permettent pas non plus de croire que l'utilisation de ce terme ne visait pas une personne. Au demeurant, J______, le seul autre témoin ayant entendu la phrase litigieuse, a attesté qu'il l'avait compris en ce sens. Cela étant, il ne découle pas du rapport d’incident du 12 septembre 2017 que l’agent de détention visé aurait pris cette menace au sérieux, ni qu'elle aurait eu un réel impact sur lui. Ce n’est que le 4 février 2019 devant le MP que F______ a complété sa version des faits et décrit que l’appelant s’était penché en avant vers lui, le pointant du doigt, un bras sur le genou, avant de prononcer les propos reprochés. Compte tenu du temps écoulé pour révéler ces nouveaux éléments, pourtant significatifs au regard de l’infraction de menace contre les autorités et les fonctionnaires, il n’y a pas lieu de les retenir. Aucun autre témoin en a de surcroît attesté. En particulier, J______ n’a pas fait état de ces détails, précisant que les propos litigieux n’avaient pas été dirigés contre une personne en particulier. Quant au témoignage de I______ en lien avec son intervention ce jour-là, il ne semble pas donner une impression décisive s'agissant des menaces proférées, ce dernier ayant</w:t>
      </w:r>
    </w:p>
    <w:p>
      <w:r>
        <w:t>- 8/11 - P/20262/2017 relevé avoir pris connaissance des propos litigieux que par le rapport établi par F______, bien après les faits, et non lorsqu'il est intervenu pour apaiser la situation. Il ne résulte pas non plus du dossier que la menace proférée a amené les agents de détention à adopter un comportement qu'ils n'auraient pas eu s'ils avaient eu toute liberté d'action. Il ne ressort en effet pas de la procédure que cette menace a entraîné une réaction particulière, dans la mesure où ils n’ont pas estimé nécessaire de déclencher l’alarme, tout comme les autres personnes présentes au moment des faits. Aucune sanction de mise à l’écart immédiate n’a été prise à l’encontre de l’appelant, telle qu’une menace sérieuse l’aurait à l'évidence engendrée, ce dernier ayant même pu participer au déjeuner en commun après l’incident. Les agents de détention n’ont pas été empêchés de procéder aux actes entrant dans leurs fonctions, lesquels n'ont pas été non plus rendus plus difficiles, comme exposé dans l'acte d'accusation. Si la discussion ne s'est effectivement pas déroulée de manière paisible, se soldant par le prononcé d’une sanction disciplinaire, cela était dû davantage à l'agitation du groupe, voire à l'excitation de l'appelant et non à ses propos menaçants. Il n'est ainsi pas établi que la menace aurait en tant que telle atteint l'un des résultats visés par l'art. 285 CP. Dans ces conditions, il doit être retenu que les éléments constitutifs de l'infraction à l'art. 285 CP ne sont pas réunis et l'appelant en sera par conséquent acquitté. L’appel sera dès lors admis et le jugement attaqué réformé en conséquence.</w:t>
      </w:r>
    </w:p>
    <w:p>
      <w:r>
        <w:rPr>
          <w:b/>
        </w:rPr>
        <w:t>E. 3</w:t>
      </w:r>
    </w:p>
    <w:p>
      <w:r>
        <w:t>L'appel ayant été admis, il ne sera pas perçu de frais (art. 428 CPP a contrario).</w:t>
      </w:r>
    </w:p>
    <w:p>
      <w:r>
        <w:t>La condamnation de l'appelant à supporter les frais de première instance sera annulée (art. 426 al. 1 CPP a contrario).</w:t>
      </w:r>
    </w:p>
    <w:p>
      <w:r>
        <w:rPr>
          <w:b/>
        </w:rPr>
        <w:t>E. 4.1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Sont ainsi en principe couvertes par le forfait l'annonce d'appel (AARP/184/2016 du 28 avril 2016,</w:t>
      </w:r>
    </w:p>
    <w:p>
      <w:r>
        <w:t>- 9/11 - P/20262/2017 consid. 5.2.3.2 et 5.3.1 ; AARP/149/2016 du 20 avril 2016, consid. 5.3 et 5.4 ; AARP/146/2013 du 4 avril 2013) et celle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4.2</w:t>
      </w:r>
    </w:p>
    <w:p>
      <w:r>
        <w:t>En l'espèce, la rédaction des annonce et déclaration d'appel sont comprises dans le forfait pour activités diverses. Pour le surplus, la note d'honoraires produite par la défenseure d’office de l'appelant n'est pas critiquable et sera admise. Compte tenu de la durée de l'audience d'appel (1h15 min), l'indemnité lui étant due sera par conséquent arrêtée en totalité à CHF 1'744.74, correspondant à 4h45 d'activité au tarif horaire de CHF 200.- (CHF 950.-) et 2h au tarif horaire de CHF 150.- (CHF 300.-), vacation à l'audience (CHF 100.-), forfait de 20% (CHF 270.-) et l’équivalent de la TVA à 7,7% (CHF 124.74.-) en sus.</w:t>
      </w:r>
    </w:p>
    <w:p>
      <w:r>
        <w:t>* * * * *</w:t>
      </w:r>
    </w:p>
    <w:p>
      <w:r>
        <w:t>- 10/11 - P/20262/2017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