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AARP/381/2016 vom 19. September 2016</w:t>
      </w:r>
    </w:p>
    <w:p>
      <w:r>
        <w:t>GE Cour de justice, 2016-09-19, FR</w:t>
      </w:r>
    </w:p>
    <w:p>
      <w:r>
        <w:rPr>
          <w:b/>
        </w:rPr>
        <w:t xml:space="preserve">Quelle: </w:t>
      </w:r>
      <w:r>
        <w:t>https://mcp.opencaselaw.ch/entscheid/ge_gerichte_AARP_381_2016</w:t>
      </w:r>
    </w:p>
    <w:p>
      <w:r>
        <w:t>FR: GE_GERICHTE AARP/381/2016 du 19 septembre 2016</w:t>
      </w:r>
    </w:p>
    <w:p>
      <w:r>
        <w:t>IT: GE_GERICHTE AARP/381/2016 del 19 settembre 2016</w:t>
      </w:r>
    </w:p>
    <w:p>
      <w:pPr>
        <w:pStyle w:val="Heading2"/>
      </w:pPr>
      <w:r>
        <w:t>Erwägungen</w:t>
      </w:r>
    </w:p>
    <w:p>
      <w:r>
        <w:rPr>
          <w:b/>
        </w:rPr>
        <w:t>E. 1.1</w:t>
      </w:r>
    </w:p>
    <w:p>
      <w:r>
        <w:t>Selon l'arrêt 6B_158/2013 du Tribunal fédéral du 25 avril 2013 consid. 2.1, la procédure en libération conditionnelle n'est pas directement régie par le code de</w:t>
      </w:r>
    </w:p>
    <w:p>
      <w:r>
        <w:t>- 4/9 - PM/824/2016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le recours est recevable.</w:t>
      </w:r>
    </w:p>
    <w:p>
      <w:r>
        <w:rPr>
          <w:b/>
        </w:rPr>
        <w:t>E. 2.1</w:t>
      </w:r>
    </w:p>
    <w:p>
      <w:r>
        <w:t>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t>- 5/9 - PM/824/2016</w:t>
      </w:r>
    </w:p>
    <w:p>
      <w:r>
        <w:rPr>
          <w:b/>
        </w:rPr>
        <w:t>E. 2.3</w:t>
      </w:r>
    </w:p>
    <w:p>
      <w:r>
        <w:t>La condition objective de l'octroi de la libération conditionnelle du recourant est réalisée depuis le 5 septembre 2016. La condition subjective ne l'est en revanche pas. Les préavis de la direction des établissements pénitentiaires constituent des éléments favorables qui ne sauraient toutefois à eux seuls conduire à l'octroi d'une libération conditionnelle. Le recourant a de très nombreux antécédents judiciaires spécifiques et lourds en Allemagne et en Autriche, ce qui dénote un ancrage fort dans la délinquance. Le risque de récidive est d'autant plus élevé que le recourant est coutumier d'infractions contre le patrimoine et que sa situation est précaire. Il n'avait d'ailleurs pas tiré les leçons s'imposant de plusieurs années de prison subies à l'étranger, pour avoir récidivé lors de son séjour en Suisse. Les regrets exprimés en audience paraissent circonstanciels et ne reflètent pas une véritable prise de conscience. Son projet de retourner vivre au Kosovo, où il ne s'est rendu tout au plus que quelques temps en 2004 suite à son renvoi d'Allemagne, puis en 2012-2013, et d'y travailler, n'apparaît ni concret ni étayé. Il n'a notamment nullement documenté l'existence du bar où il avait l'intention de travailler ou la situation de sa famille.</w:t>
      </w:r>
    </w:p>
    <w:p>
      <w:r>
        <w:t>- 6/9 - PM/824/2016 Son projet n'apparait de surcroit pas réalisable immédiatement au vu de la demande d'extradition en Autriche acceptée par les autorités suisses. À cet égard, l'allégation de l'absence d'un risque de réitération sur le territoire national ne saurait être un motif d'octroi de la libération conditionnelle, le juge suisse ne pouvant s'accommoder d'un tel risque à l'étranger. En conclusion, la condition subjective d'une libération conditionnelle n'est, en l'état, pas réalisée, de sorte que le jugement du TAPEM doit être confirmé. Le recours est rejeté.</w:t>
      </w:r>
    </w:p>
    <w:p>
      <w:r>
        <w:rPr>
          <w:b/>
        </w:rPr>
        <w:t>E. 3</w:t>
      </w:r>
    </w:p>
    <w:p>
      <w:r>
        <w:t>Les frais de la procédure de recours seront mis à la charge du recourant, qui succombe. 4.1. Selon l'art. 16 du règlement sur l'assistance juridique du 28 juillet 2010 (RAJ ; E 2 05.04)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 En l'occurrence, le dossier était nécessairement bien connu du défenseur d'office, celui-ci ayant déjà assisté le recourant devant les premiers juges. La CPAR admettra, au titre du travail antérieur à l'audience de recours, une activité de deux heures au tarif d'avocat-stagiaire, considérant excessives les deux heures quarante-cinq portées à l'état de frais, dont aucune au tarif réservé aux stagiaires, alors qu'on imagine mal que l'audience n'ait pas été préparée par celui qui s'y est rendu. L'audience a duré une heure, plus la vacation indemnisée forfaitairement. En conclusion, l'indemnité sera arrêtée à CHF 298.10 correspondant à trois heures d'activité de l'avocat-stagiaire, plus la vacation par CHF 35.-, la majoration forfaitaire de 20% pour activités diverses (CHF 46.00) et l'équivalent de la TVA au taux de 8%, en CHF 22.10. * * * * *</w:t>
      </w:r>
    </w:p>
    <w:p>
      <w:r>
        <w:t>- 7/9 - PM/824/2016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