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AARP/379/2015 vom 1. September 2015</w:t>
      </w:r>
    </w:p>
    <w:p>
      <w:r>
        <w:t>GE Cour de justice, 2015-09-01, FR</w:t>
      </w:r>
    </w:p>
    <w:p>
      <w:r>
        <w:rPr>
          <w:b/>
        </w:rPr>
        <w:t xml:space="preserve">Quelle: </w:t>
      </w:r>
      <w:r>
        <w:t>https://mcp.opencaselaw.ch/entscheid/ge_gerichte_AARP_379_2015</w:t>
      </w:r>
    </w:p>
    <w:p>
      <w:r>
        <w:t>FR: GE_GERICHTE AARP/379/2015 du 1 septembre 2015</w:t>
      </w:r>
    </w:p>
    <w:p>
      <w:r>
        <w:t>IT: GE_GERICHTE AARP/379/2015 del 1 settembre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CEDH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- 7/13 - P/14619/2013</w:t>
      </w:r>
    </w:p>
    <w:p>
      <w:r>
        <w:t>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2.1.2.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t>2.1.3. A teneur de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w:t>
      </w:r>
    </w:p>
    <w:p>
      <w:r>
        <w:t>2.1.4. Selon l'art. 12 al. 2 CP, agit intentionnellement quiconque commet un crime ou un délit avec conscience et volonté. L'auteur agit déjà intentionnellement lorsqu'il tient pour possible la réalisation de l'infraction et l'accepte au cas où celle-ci se produirait.</w:t>
      </w:r>
    </w:p>
    <w:p>
      <w:r>
        <w:t>- 8/13 - P/14619/2013</w:t>
      </w:r>
    </w:p>
    <w:p>
      <w:r>
        <w:t>Il y a dol éventuel lorsque l'auteur, qui ne veut pas le résultat dommageable pour lui- même, envisage le résultat de son acte comme possible et l'accepte au cas où il se produirait (ATF 133 IV 9 = JdT 2007 I 573 consid. 4.1 p. 579 ; 131 IV 1 consid. 2.2 p. 4 s. ; 130 IV 58 consid. 8.2 p. 61).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w:t>
      </w:r>
    </w:p>
    <w:p>
      <w:r>
        <w:t>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w:t>
      </w:r>
    </w:p>
    <w:p>
      <w:r>
        <w:rPr>
          <w:b/>
        </w:rPr>
        <w:t>E. 6</w:t>
      </w:r>
    </w:p>
    <w:p>
      <w:r>
        <w:t>juillet 2007 consid. 2.3 – relatif à l'art. 129 CP – avec la jurisprudence et la doctrine citées).</w:t>
      </w:r>
    </w:p>
    <w:p>
      <w:r>
        <w:t>2.1.5.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commission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w:t>
      </w:r>
    </w:p>
    <w:p>
      <w:r>
        <w:t>La tentative suppose que l'auteur réalise tous les éléments subjectifs de l'infraction et qu'il manifeste sa décision de la commettre, mais sans en réaliser tous les éléments objectifs (ATF 120 IV 199 consid. 3e p. 206).</w:t>
      </w:r>
    </w:p>
    <w:p>
      <w:r>
        <w:t>2.2.1. En l'espèce, il est constant que B______ a sciemment donné un coup de poing au rétroviseur de la voiture conduite par A______ et l'a détérioré, dans le contexte</w:t>
      </w:r>
    </w:p>
    <w:p>
      <w:r>
        <w:t>- 9/13 - P/14619/2013 d'un conflit survenu entre les parties quelques instants plus tôt. A______ admet avoir ensuite suivi le cycliste, qui avait pris la fuite.</w:t>
      </w:r>
    </w:p>
    <w:p>
      <w:r>
        <w:t>Il ressort par ailleurs des déclarations concordantes du témoin et de l'intimé, que l'appelant, sur la D______, a effectué un écart sur la droite et heurté le vélo sur lequel se trouvait l'intimé, entrainant sa chute. Le témoin F______, dont il sera rappelé qu'elle n'avait aucun intérêt à mentir, étant étrangère aux faits de la cause et n'ayant aucun lien avec les parties, a crié et s'est précipitée vers le cycliste pour voir comment il allait puis a invectivé le conducteur de la voiture, le traitant de fou, ce qui corrobore qu'un heurt et une chute ont bien eu lieu.</w:t>
      </w:r>
    </w:p>
    <w:p>
      <w:r>
        <w:t>Les déclarations de l'intimé B______ sur le déroulement des faits, corroborées par celles du témoin, emportent ainsi la conviction, ce d'autant que l'intéressé a d'emblée admis ses torts et fourni un récit mesuré. Il a d'ailleurs été condamné pour ces faits.</w:t>
      </w:r>
    </w:p>
    <w:p>
      <w:r>
        <w:t>A l'inverse, les dires de l'appelant, selon lesquels il n'y aurait eu aucun heurt, lui- même ayant stoppé sa voiture quelques mètres après le cycliste, lequel l'aurait rejoint à pied, après s'être arrêté au début de la D______ pour discuter avec des personnes, n'apparaissent pas crédibles, étant observé que B______ tentait de lui échapper.</w:t>
      </w:r>
    </w:p>
    <w:p>
      <w:r>
        <w:t>Partant, à l'instar du premier juge, il convient de retenir que l'appelant a délibérément heurté avec sa voiture le vélo conduit par l'intimé, provoquant sa chute. Il ne pouvait, par ailleurs, ignorer qu'une telle manœuvre dangereuse était susceptible de causer des lésions corporelles, à tout le moins simples. Il a agi sciemment, son but, admis du reste, étant d'intercepter le cycliste qui prenait la fuite après avoir cassé son rétroviseur.</w:t>
      </w:r>
    </w:p>
    <w:p>
      <w:r>
        <w:t>C'est en outre à juste titre que seule une tentative a été retenue par le premier juge, dès lors que l'on ne peut pas exclure que les blessures à la main présentées par l'intimé après les faits, et constatées par l'appelant lui-même, puissent résulter du coup donné au rétroviseur plutôt que de la chute.</w:t>
      </w:r>
    </w:p>
    <w:p>
      <w:r>
        <w:t>L'appelant ne saurait enfin se prévaloir du droit d'arrestation des particuliers, prévu à l'art. 218 CPP, tant son intervention apparait disproportionnée dans le cas d'espèce (cf. art. 218 al. 3 et 200 CPP). Un automobiliste ne saurait être autorisé à provoquer la chute d'un cycliste qui s'enfuit après un accident, n'impliquant de surcroît que quelques dégâts matériels.</w:t>
      </w:r>
    </w:p>
    <w:p>
      <w:r>
        <w:t>Le jugement doit ainsi être confirmé en tant qu'il a reconnu l'appelant coupable, à tout le moins par dol éventuel, de tentative de lésions corporelles simples au sens des art. 22 et 123 ch. 1 CP.</w:t>
      </w:r>
    </w:p>
    <w:p>
      <w:r>
        <w:t>- 10/13 - P/14619/2013</w:t>
      </w:r>
    </w:p>
    <w:p>
      <w:r>
        <w:t>2.2.2. Dans la mesure où l'infraction de dommages à la propriété s'est déroulée dans le cadre du même complexe de faits que celle qui précède, il convient aussi et pour les mêmes motifs de confirmer le verdict de culpabilité de ce chef, à tout le moins par dol éventuel, les dégâts occasionnés à la poignée et à la pédale droites du vélo ayant été objectivement constatés par les photos produites. Le fait que la fourche de l'engin, qui s'était tordue selon les dires de l'intimé, ne s'est pas endommagée, ne signifie pas encore que le plaignant aurait menti à ce sujet.</w:t>
      </w:r>
    </w:p>
    <w:p>
      <w:r>
        <w:t>Le verdict de culpabilité doit ainsi être intégralement confirmé. 3. 3.1. L'appelant n'a pas contesté le choix du premier juge de prononcer une peine pécuniaire, dont la quotité n'a pas non plus été remise en cause.</w:t>
      </w:r>
    </w:p>
    <w:p>
      <w:r>
        <w:t>Comme l'a souligné le premier juge, la faute de l'appelant est grave, dans la mesure où il a, au volant de sa voiture, pris en chasse et heurté intentionnellement l'intimé B______ et n'a pas hésité à mettre la santé du cycliste en danger.</w:t>
      </w:r>
    </w:p>
    <w:p>
      <w:r>
        <w:t>Sa responsabilité est pleine et entière et aucune circonstance atténuante n'est réalisée, ni n'a d'ailleurs été plaidée. Si le cycliste s'est mal comporté, notamment en donnant un coup de poing au rétroviseur de l'appelant, la réaction de ce dernier au tort subi relève d'un comportement colérique et peu respectueux du bien-être et de la sécurité d'autrui. Sa collaboration n'a pas été bonne eu égard à ses dénégations répétées, d'autant qu'il persiste à vouloir endosser le rôle de victime et à mettre en doute les déclarations du témoin. Il n'a de surcroît manifesté aucun regret et n'apparaît pas avoir pris conscience de la gravité de ses agissements délictueux.</w:t>
      </w:r>
    </w:p>
    <w:p>
      <w:r>
        <w:t>Il y a concours d'infractions, au sens de l'art. 49 CP, ce qui justifie d'augmenter la peine de l'infraction la plus grave dans une juste proportion. L'appelant n'a pas d'antécédents, mais il s'agit là d'un facteur neutre. Le tribunal de première instance a encore tenu compte, à décharge, du fait que l'infraction de lésions corporelles simples en est restée au stade de la tentative, pour des raisons toutefois indépendantes de la volonté de l'appelant.</w:t>
      </w:r>
    </w:p>
    <w:p>
      <w:r>
        <w:t>3.2. Au vu de l'ensemble de ces éléments, la peine pécuniaire de 120 jours-amende prononcée par le premier juge apparaît adéquate, car adaptée à la culpabilité de l'appelant, et consacre une application correcte des critères de fixation de la peine prévus aux art. 47 et ss CP. Le montant du jour-amende, fixé à CHF 30.- l'unité, tient compte de manière appropriée de la situation personnelle et économique de l'appelant et n'a à juste titre pas été critiqué. Le sursis octroyé est justifié et est au demeurant acquis à l'appelant ; le délai d'épreuve, fixé à trois ans, est adéquat. L'amende de CHF 700.- prononcée à titre de sanction immédiate est également fondée, de même que la peine privative de liberté de substitution, qui n'ont pas davantage été contestées.</w:t>
      </w:r>
    </w:p>
    <w:p>
      <w:r>
        <w:t>- 11/13 - P/14619/2013</w:t>
      </w:r>
    </w:p>
    <w:p>
      <w:r>
        <w:t>4. Compte tenu de l'issue de l'appel, les prétentions en indemnisation de l'appelant doivent être rejetées.</w:t>
      </w:r>
    </w:p>
    <w:p>
      <w:r>
        <w:t>5. L'appelant, qui succombe, supportera les frais de la procédure envers l'État, comprenant en totalité un émolument de jugement de CHF 1'500.- (art. 428 al. 1 CPP et 14 al. 1 let. e du Règlement fixant le tarif des frais en matière pénale du 22 décembre 2010 - RTFMP ; RS/GE E 4 10.03). * * * * *</w:t>
      </w:r>
    </w:p>
    <w:p>
      <w:r>
        <w:t>- 12/13 - P/14619/2013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