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AARP/378/2019 vom 13. April 2018</w:t>
      </w:r>
    </w:p>
    <w:p>
      <w:r>
        <w:t>GE Cour de justice, 2018-04-13, FR</w:t>
      </w:r>
    </w:p>
    <w:p>
      <w:r>
        <w:rPr>
          <w:b/>
        </w:rPr>
        <w:t xml:space="preserve">Quelle: </w:t>
      </w:r>
      <w:r>
        <w:t>https://mcp.opencaselaw.ch/entscheid/ge_gerichte_AARP_378_2019</w:t>
      </w:r>
    </w:p>
    <w:p>
      <w:r>
        <w:t>FR: GE_GERICHTE AARP/378/2019 du 13 avril 2018</w:t>
      </w:r>
    </w:p>
    <w:p>
      <w:r>
        <w:t>IT: GE_GERICHTE AARP/378/2019 del 13 aprile 2018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w:t>
      </w:r>
    </w:p>
    <w:p>
      <w:r>
        <w:t>- 5/10 - P/1750/2019</w:t>
      </w:r>
    </w:p>
    <w:p>
      <w:r>
        <w:rPr>
          <w:b/>
        </w:rPr>
        <w:t>E. 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 Le juge doit fixer, pour toute infraction à juger, le genre de peine devant sanctionner les faits concernés. A cet égard, on ne saurait exiger du juge qu'il se place, de manière artificielle, dans la position d'un autre magistrat, en feignant d'ignorer les éléments antérieurs ou postérieurs à la décision précédente dont il a désormais connaissance. Une telle façon de procéder révélerait d'ailleurs rapidement ses limites (arrêt du Tribunal fédéral 6B_750/2019 du 11 juillet 2019, consid. 1.4.1).</w:t>
      </w:r>
    </w:p>
    <w:p>
      <w:r>
        <w:rPr>
          <w:b/>
        </w:rPr>
        <w:t>E. 2.3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("Zusatzstrafe"). Il doit s'agir de peines de même genre (ATF 142 IV 265 consid. 2.3.2). Lorsque les conditions nécessaires pour prononcer une peine complémentaire sont remplies, le tribunal fixe tout d'abord une peine d'ensemble hypothétique. Concrètement, le juge se demande d'abord quelle peine d'ensemble aurait été prononcée si toutes les infractions avaient été jugées simultanément (arrêt du Tribunal fédéral 6B_1141/2017 du 7 juin 2018 consid. 4.1). Dans ce contexte, le juge doit procéder selon les principes de l'art. 49 al. 1 CP (ATF 142 IV 265 consid. 2.3.3 p. 268; aTF 138 IV 120 consid. 5.2 p. 122 s.). La peine complémentaire est constituée de la différence entre cette peine d'ensemble et la peine de base, à savoir celle prononcée précédemment (ATF 141 IV 61 consid. 6.1.2 p. 67; ATF 6B_1141/2017 précité consid. 4.1).</w:t>
      </w:r>
    </w:p>
    <w:p>
      <w:r>
        <w:t>- 6/10 - P/1750/2019</w:t>
      </w:r>
    </w:p>
    <w:p>
      <w:r>
        <w:rPr>
          <w:b/>
        </w:rPr>
        <w:t>E. 2.4</w:t>
      </w:r>
    </w:p>
    <w:p>
      <w:r>
        <w:t>En l’espèce, force est de constater que les dix condamnations prononcées à l’encontre de l’intimé depuis 2016 – dont plusieurs à des peines pécuniaires – ne l’ont pas découragé de récidiver. Au contraire, on constate une aggravation des condamnations, qui portent sur des biens juridiques différents, allant jusqu’à des atteintes à l’intégrité corporelle (condamnation du 21 décembre 2018). Certes, il se dit aujourd’hui en mesure de s’acquitter d’une peine pécuniaire, en se prévalant de son emploi en France. Celui-ci n’est toutefois nullement documenté et, en tout état de cause, le revenu allégué (dont on peut douter qu’il soit obtenu légalement au vu de son statut administratif précaire) se situe en-dessous des normes d’insaisissabilité, même françaises ; de plus, au vu du statut précaire de l’intimé qui ne démontre pas qu’il disposerait d’un domicile fixe, et dont même l’identité n’est pas établie de façon certaine, il est manifeste qu’une peine pécuniaire ne pourrait pas être exécutée. A cela s’ajoute que le prévenu a, depuis les faits, été détenu en exécution de la peine prononcée le 21 décembre 2018, puis, après le prononcé du jugement entrepris, a fait l’objet d’une nouvelle condamnation à une peine privative de liberté ; ces détentions (passée et à venir) diminuent sa capacité de travail et font douter de la stabilité de son emploi (pour autant qu’avéré) et donc de son revenu. Ainsi, force est de constater que les deux conditions alternatives commandant le prononcé d’une peine privative de liberté en lieu et place d’une peine pécuniaire sont réalisées. L’appel sur ce point est fondé.</w:t>
      </w:r>
    </w:p>
    <w:p>
      <w:r>
        <w:rPr>
          <w:b/>
        </w:rPr>
        <w:t>E. 2.5</w:t>
      </w:r>
    </w:p>
    <w:p>
      <w:r>
        <w:t>Compte tenu de la condamnation intervenue depuis le premier jugement, la CPAR doit fixer une peine complémentaire, et donc déterminer la sanction adéquate pour sanctionner des ruptures de ban répétées commises entre le 22 décembre 2018 et le 12 février 2019, puis à nouveau entre le 25 mai et le 28 juillet 2019. La simple énumération de cette période pénale souligne que, manifestement, le prévenu a récidivé peu après sa libération de l’exécution de la peine prononcée le 21 décembre 2018. On ne peut qu’en déduire qu’il se moque des décisions de l’autorité et que les sanctions ne semblent pas avoir d’influence sur son comportement. La faute de l’intimé est ainsi importante, puisqu’il fait fi de la décision du TP qui a prononcé son expulsion de Suisse et persiste à y revenir. Son mobile tient dans sa convenance personnelle et le mépris de l’autorité. Sa situation personnelle est certainement précaire, mais cela ne justifie pas son comportement, surtout s’il dispose d’un domicile et de possibilités d’emploi à l’étranger, comme il l’affirme encore dans ses écritures devant la CPAR. Sa persévérance dans la commission répétée d’infractions ne peut que conduire au prononcé d’une sanction sévère. Cela étant posé, la peine requise par le MP ne tient pas compte de celle prononcée en juillet 2019, et donc du caractère désormais complémentaire de la peine à fixer. L’infraction la plus grave est sans doute celle commise par l’intimé à sa sortie de</w:t>
      </w:r>
    </w:p>
    <w:p>
      <w:r>
        <w:t>- 7/10 - P/1750/2019 prison, par la persévérance qu’elle démontre, et la peine de six mois prononcée par ordonnance pénale du 28 juillet 2019 sanctionne donc l’infraction la plus grave. La peine privative de liberté pour l’ensemble des infractions en cause doit ainsi être fixée à dix mois. La peine privative de liberté complémentaire s’élève partant à quatre mois. L’appel du MP doit ainsi être partiellement admis.</w:t>
      </w:r>
    </w:p>
    <w:p>
      <w:r>
        <w:rPr>
          <w:b/>
        </w:rPr>
        <w:t>E. 3</w:t>
      </w:r>
    </w:p>
    <w:p>
      <w:r>
        <w:t>L’intimé, qui succombe pour l’essentiel, supportera les frais de la procédure envers l'Etat (art. 428 CPP).</w:t>
      </w:r>
    </w:p>
    <w:p>
      <w:r>
        <w:rPr>
          <w:b/>
        </w:rPr>
        <w:t>E. 4.1</w:t>
      </w:r>
    </w:p>
    <w:p>
      <w:r>
        <w:t>Selon l'art. 135 al. 1 CPP, le défenseur d'office ou le conseil juridique gratuit (cf. art. 138 al. 1 CPP) est indemnisé conformément au tarif des avocats du canton du for du procès.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4.2</w:t>
      </w:r>
    </w:p>
    <w:p>
      <w:r>
        <w:t>En l’occurrence, l’état de frais produit par le conseil de l’appelant paraît adéquat et conforme aux dispositions et principes qui précèdent, de sorte qu’il sera admis sans en reprendre le détail.</w:t>
      </w:r>
    </w:p>
    <w:p>
      <w:r>
        <w:t>En conclusion, l'indemnité sera arrêtée à CHF 685.- correspondant à une heure d'activité au tarif de CHF 200.-/heure, trois heures et demie au tarif de CHF 110.- /heure plus la majoration forfaitaire de 20% et l'équivalent de la TVA au taux de 7.7% en CHF 49.-. * * * * *</w:t>
      </w:r>
    </w:p>
    <w:p>
      <w:r>
        <w:t>- 8/10 - P/1750/2019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