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AARP/378/2018 vom 26. November 2018</w:t>
      </w:r>
    </w:p>
    <w:p>
      <w:r>
        <w:t>GE Cour de justice, 2018-11-26, FR</w:t>
      </w:r>
    </w:p>
    <w:p>
      <w:r>
        <w:rPr>
          <w:b/>
        </w:rPr>
        <w:t xml:space="preserve">Quelle: </w:t>
      </w:r>
      <w:r>
        <w:t>https://mcp.opencaselaw.ch/entscheid/ge_gerichte_AARP_378_2018</w:t>
      </w:r>
    </w:p>
    <w:p>
      <w:r>
        <w:t>FR: GE_GERICHTE AARP/378/2018 du 26 novembre 2018</w:t>
      </w:r>
    </w:p>
    <w:p>
      <w:r>
        <w:t>IT: GE_GERICHTE AARP/378/2018 del 26 novembre 2018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L'appelant n'a pas contesté sa condamnation des chefs d'entrée illégale, séjour illégal, détention et vente de stupéfiants à F______, ainsi que de contravention à la LStup, qui paraît fondée en fait et en droit, partant non critiquable. Le premier jugement sera sur ces points confirmé.</w:t>
      </w:r>
    </w:p>
    <w:p>
      <w:r>
        <w:t>- 8/16 - P/11667/2018</w:t>
      </w:r>
    </w:p>
    <w:p>
      <w:r>
        <w:rPr>
          <w:b/>
        </w:rPr>
        <w:t>E. 3</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4.1</w:t>
      </w:r>
    </w:p>
    <w:p>
      <w:r>
        <w:t>Aux termes de l'art. 19 al. 1 let. c LStup, est punissable celui qui sans droit, aliène des stupéfiants, en procure de toute autre manière à un tiers ou en met dans le commerce.</w:t>
      </w:r>
    </w:p>
    <w:p>
      <w:r>
        <w:rPr>
          <w:b/>
        </w:rPr>
        <w:t>E. 4.2</w:t>
      </w:r>
    </w:p>
    <w:p>
      <w:r>
        <w:t>En l'espèce, il est établi et non contesté qu'une transaction de marijuana a eu lieu entre un individu et l'appelant, qui détenait lors de son interpellation 113.5 grammes de marijuana et près de CHF 380.-. L'appelant nie cependant avoir revêtu le rôle de l'acheteur. Le témoin a eu la sagesse de reconnaitre les limites de son observation eu égard aux circonstances. Il n'en reste pas moins qu'il était avec son collègue dans une mission de surveillance d'un éventuel trafic de stupéfiants, ce qui l'a conduit à être d'autant plus attentif à la scène se déroulant sous ses yeux, dût-il en être éloigné. On est loin d'un témoin qui relate un événement auquel il a assisté par hasard qui peut, sous la surprise, interpréter telle ou telle attitude à laquelle il a été subitement confronté. Il y a eu remise de quelque chose de l'un à l'autre, sans que le témoin puisse être davantage précis. Mais celui-ci a été en revanche affirmatif en ce sens que l'appelant n'a pas empoigné son sac à dos pour y déposer le produit de l'échange, contrairement à ses affirmations. Cet élément est en soi un indice probant qui permet d'écarter l'hypothèse d'un achat à hauteur de 115 grammes de marijuana, de surcroit quand on sait que les stupéfiants saisis dans le sac à dos étaient conditionnés en cinq sachets prêts à la vente. Un tel conditionnement est davantage le fait d'un vendeur de drogue</w:t>
      </w:r>
    </w:p>
    <w:p>
      <w:r>
        <w:t>- 9/16 - P/11667/2018 que d'un acheteur. Une telle conclusion est d'ailleurs en pleine conformité avec le rôle que l'appelant a reconnu à l'égard de F______. Si elle devait être retenue, la version de l'appelant n'aurait pas de sens. Comment expliquer qu'un tiers qui souhaiterait financer un départ à l'étranger brade la marijuana qu'il possède au point de se saborder ? Sauf à être stupide, on voit mal que H______ se contente de recevoir CHF 150.- pour la vente réalisée alors qu'il lui serait possible d'en obtenir près de 20 fois plus. Aux arguments qui précèdent s'ajoute le peu de crédit qu'il convient d'accorder aux déclarations de l'appelant justifiant la possession des stupéfiants par sa forte consommation de marijuana. Il est en soi douteux qu'un consommateur d'une vingtaine de joints par jour puisse se défaire aussi facilement de son addiction une fois incarcéré. Sans compter qu'on voit mal l'appelant pouvoir la financer avec des rentrées financières aussi incertaines que celles qu'il décrit. Ses nombreuses condamnations pour des faits spécifiques (2009, 2010, 2012 et 2015) vont dans le même sens. Il sera partant retenu que la drogue saisie était destinée au trafic de l'appelant et qu'il en a prélevé une partie pour la vendre à un tiers le jour de son interpellation. Il résulte de ce qui précède que la culpabilité pour la vente de marijuana est établie et que le premier jugement sera confirmé.</w:t>
      </w:r>
    </w:p>
    <w:p>
      <w:r>
        <w:rPr>
          <w:b/>
        </w:rPr>
        <w:t>E. 5.1</w:t>
      </w:r>
    </w:p>
    <w:p>
      <w:r>
        <w:t>À titre liminaire, il est précisé que la quotité de l'amende n'est pas contestée et ne sera dès lors pas revue dans les considérants qui suivent.</w:t>
      </w:r>
    </w:p>
    <w:p>
      <w:r>
        <w:rPr>
          <w:b/>
        </w:rPr>
        <w:t>E. 5.2</w:t>
      </w:r>
    </w:p>
    <w:p>
      <w:r>
        <w:t>L'art. 19 al. 1 LStup prévoit le prononcé d'une peine privative de liberté de trois ans au plus ou d'une peine pécuniaire et l'art. 115 al. 1 LEtr le prononcé d'une peine privative de liberté d'un an au plus ou d'une peine pécuniaire.</w:t>
      </w:r>
    </w:p>
    <w:p>
      <w:r>
        <w:rPr>
          <w:b/>
        </w:rPr>
        <w:t>E. 5.3</w:t>
      </w:r>
    </w:p>
    <w:p>
      <w:r>
        <w:t>Le 1er janvier 2018, sont entrées en vigueur des nouvelles dispositions sur le droit des sanctions. Il découle de l'art. 2 al. 1 et 2 du code pénal suisse du 21 décembre 1937 (CP - RS 311.0) que l'on applique en principe la loi en vigueur au moment où l'acte a été commis, à moins que la nouvelle loi ne soit plus favorable à l'auteur (principe de la non-rétroactivité de la loi pénale et exception de la lex mitior ; arrêts du Tribunal fédéral 6B_496/2012, 6B_503/2012 du 18 avril 2013 consid. 8.1). Lorsqu'une nouvelle loi entre en vigueur pendant l'exécution d'un délit continu, il convient de prendre en compte le nouveau droit uniquement (AARP/314/2018 du 1er octobre 2018 consid. 2.2 et 2.3 ; M. DUPUIS/ L. MOREILLON/ C. PIGUET/ S. BERGER/ M. MAZOU/ V. RODIGARI, Code pénal, Petit Commentaire, Bâle 2017, n. 19 ad art. 2 et les références citées ; voir aussi arrêt du Tribunal fédéral 6B_196/2012 du 24 janvier 2013 consid. 1.3).</w:t>
      </w:r>
    </w:p>
    <w:p>
      <w:r>
        <w:t>- 10/16 - P/11667/2018 En l'espèce, les faits reprochés à l'appelant sont à la fois antérieurs et postérieurs à l'entrée en vigueur du nouveau droit des sanctions. Or, seuls des délits continus (infractions d'entrée illégale et de séjour illégal) ont été commis entre le 26 août 2016 et le 19 juin 2018, les cas de vente et de détention de marijuana s'étant déroulés après l'entrée en vigueur de la réforme. Les nouvelles dispositions sur le droit des sanctions seront ainsi applicables à l'ensemble des infractions du cas d'espèce, sans que l'exception de la lex mitior ne doive être examinée.</w:t>
      </w:r>
    </w:p>
    <w:p>
      <w:r>
        <w:rPr>
          <w:b/>
        </w:rPr>
        <w:t>E. 5.4</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5.5</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rPr>
          <w:b/>
        </w:rPr>
        <w:t>E. 5.6</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5.7</w:t>
      </w:r>
    </w:p>
    <w:p>
      <w:r>
        <w:t>Selon l'art. 42 al. 1 CP, le juge suspend en règle générale l'exécution d'une peine privative de liberté de deux ans au plus lorsqu'une peine ferme ne paraît pas</w:t>
      </w:r>
    </w:p>
    <w:p>
      <w:r>
        <w:t>- 11/16 - P/11667/2018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5.8</w:t>
      </w:r>
    </w:p>
    <w:p>
      <w:r>
        <w:t>Il ressort de l'art. 89 al. 1 CP que si, durant le délai d'épreuve, le détenu libéré conditionnellement commet un crime ou un délit, le juge qui connaît de la nouvelle infraction ordonne sa réintégration dans l'établissement.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il doit suffire de pouvoir raisonnablement admettre que le détenu ne commettra pas de nouvelles infractions (ATF 98 Ib 106 consid. 1b p. 107; arrêts du Tribunal fédéral 6B_623/2017 du 28 novembre 2017 consid. 2.1 ; 6B_1085/2013 du 22 octobre 2014 consid. 4.2.1).</w:t>
      </w:r>
    </w:p>
    <w:p>
      <w:r>
        <w:rPr>
          <w:b/>
        </w:rPr>
        <w:t>E. 5.9</w:t>
      </w:r>
    </w:p>
    <w:p>
      <w:r>
        <w:t>En l'espèce, la faute de l'appelant n'est pas négligeable puisqu'il a fait fi des normes en vigueur tant en matière de stupéfiants que de droit des étrangers. Il demeure en Suisse sans droit, malgré les nombreuses condamnations dont il a fait l'objet, réitérant le même comportement sans vouloir quitter le territoire depuis le refus d'entrée en matière sur sa demande d'asile voici près de 10 ans. Il a agi par appât du gain mais aussi dans le but de satisfaire sa propre consommation de stupéfiants. L'appelant vivait dans l'illégalité et l'insécurité matérielle, n'ayant aucune autre source de revenu, à part des travaux au noir, non démontrés au demeurant, dont on doute qu'ils eussent pu suffire à l'alimenter. Sa situation personnelle était ainsi difficile, ce qui tient à sa volonté de rester en Suisse en toute illicéité. Elle ne saurait excuser son comportement. Sa collaboration à la procédure ne peut être qualifiée de bonne, même s'il a fini par reconnaitre sa culpabilité pour la majeure partie des faits reprochés. Il a exprimé des regrets. Ses nombreux antécédents sont majoritairement spécifiques. Le genre de peine, soit la peine privative de liberté, n'est à juste titre pas remis en question. Il y a concours d'infractions, ce qui justifie une augmentation de la peine. L'appelant a commis deux infractions à la LEtr pendant le délai d'épreuve et sa réintégration en exécution de peine doit être ordonnée, la CPAR ne pouvant raisonnablement admettre que l'appelant ne commettra pas de nouvelles infractions. Certes, il a indiqué être las de sa situation irrégulière en Suisse et vouloir rentrer dans son pays d'origine, sans indiquer toutefois quelles démarches concrètes il entendait entreprendre. L'appelant paraît peu sensible à la sanction, ses nombreux antécédents</w:t>
      </w:r>
    </w:p>
    <w:p>
      <w:r>
        <w:t>- 12/16 - P/11667/2018 n'ayant eu un quelconque effet dissuasif sur lui, pas davantage que la chance qui lui a été donnée par l'octroi d'une libération conditionnelle. Il ne s'en est d'ailleurs pas tenu aux seules infractions à la LEtr, mais s'est rendu coupable d'infraction à l'art. 19 al. 1 LStup, certes postérieurement au délai d'épreuve. Le solde de peine est de 264 jours. Le premier juge a ainsi fixé la peine correspondant aux cinq délits de la présente procédure à 101 jours, soit un peu plus de trois mois. Cette peine paraît clémente au vu des faits commis et correspond, à 11 jours près, à la quotité requise par l'appelant. En vertu de l'interdiction de la reformatio in peius, la CPAR ne reverra pas la peine à la hausse et la confirmera. Vu ses antécédents, le sursis n'entre pas en ligne de compte, seul un pronostic défavorable pouvant être posé, cette question n'étant finalement pas contestée en appel. Il en est de même de l'expulsion ordonnée qui répond aux réquisits de l'art. 66abis CP, y compris pour sa durée qui apparait proportionnelle. Le jugement entrepris sera confirmé.</w:t>
      </w:r>
    </w:p>
    <w:p>
      <w:r>
        <w:rPr>
          <w:b/>
        </w:rPr>
        <w:t>E. 6</w:t>
      </w:r>
    </w:p>
    <w:p>
      <w:r>
        <w:t>Les motifs ayant conduit le premier juge à prononcer, par ordonnance séparée du</w:t>
      </w:r>
    </w:p>
    <w:p>
      <w:r>
        <w:rPr>
          <w:b/>
        </w:rPr>
        <w:t>E. 7</w:t>
      </w:r>
    </w:p>
    <w:p>
      <w:r>
        <w:t>L'appelant succombe, de sorte qu'il sera condamné au paiement des frais de la procédure d'appel envers l'État (art. 428 CPP), comprenant dans leur totalité un émolument de CHF 1'500.- (art. 14 let. e du règlement fixant le tarif des frais en matière pénale du 22 décembre 2010 [RTFMP – RS/GE E 4 10.03]).</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8.2.1. Selon l'art. 135 al. 1 CPP, le défenseur d'office est indemnisé conformément au tarif des avocats de la Confédération ou du canton du for du procès. Selon l'art. 16 du règlement sur l'assistance juridique du 28 juillet 2010 (RAJ ; E 2 05.04), l'indemnité est calculée selon le tarif horaire suivant, débours de l'étude inclus : avocat stagiaire CHF 110.- (let. a) et collaborateur CHF 150.- (let. b). En cas d'assujettissement, l'équivalent de la TVA est versé en sus.</w:t>
      </w:r>
    </w:p>
    <w:p>
      <w:r>
        <w:t>- 13/16 - P/11667/2018 8.2.2.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Selon la pratique de la CPAR,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8.2.4.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8.2.5. Les séances internes entre le défenseur d'office et son stagiaire ne sont pas indemnisées par l'assistance juridique (AARP/57/2016 du 9 février 2016 consid. 7.2 et 7.3 ; AARP/307/2014 du 2 juillet 2014 ; AARP/20/2014 du 7 janvier 2014). 8.2.6. La rémunération forfaitaire de la vacation aller/retour au et du Palais de justice est arrêtée à CHF 55.- pour les avocats-stagiaires, dite rémunération étant allouée d'office pour la juridiction d'appel pour les débats devant elle.</w:t>
      </w:r>
    </w:p>
    <w:p>
      <w:r>
        <w:rPr>
          <w:b/>
        </w:rPr>
        <w:t>E. 8.3</w:t>
      </w:r>
    </w:p>
    <w:p>
      <w:r>
        <w:t>En l'occurrence, l'indemnité requise en appel sera réduite, pour le collaborateur, de 45 minutes de "conférence interne avec I______", de 30 minutes pour la rédaction de la déclaration d'appel et 30 minutes pour des recherches juridiques, d'autant plus que l'appelant n'a pris aucune conclusion en lien avec l'art. 429 CPP. Par ailleurs, l'activité de l'avocate stagiaire de 6h10 consacrée à l'examen du dossier et à la</w:t>
      </w:r>
    </w:p>
    <w:p>
      <w:r>
        <w:t>- 14/16 - P/11667/2018 préparation des débats d'appel sera réduite à 4h00, durée amplement suffisante pour ce faire vu la nature peu complexe de l'affaire. Sous réserve de ce qui précède, la durée de l'activité est conforme aux principes susmentionnés. Une heure d'activité de l'avocate stagiaire sera ajoutée pour sa participation aux débats d'appel, la rémunération forfaitaire de la vacation au Palais de justice étant versée en sus. S'agissant du tarif horaire, le conseil de l'appelant n'indique aucun motif, sinon une référence à un consensus fédéral dont il n'explique pas l'application au cas d'espèce, pour lequel la CPAR devrait s'écarter des tarifs de l'art. 16 RAJ, entrés en vigueur le 1er octobre dernier. Dès lors, l'indemnité sera arrêtée à CHF 1'442.10 correspondant à 2h d'activité au tarif horaire de CHF 150.- (CHF 300.-) et 7h d'activité au tarif horaire de CHF 110.- (CHF 770.-) plus la majoration forfaitaire de 20 % (CHF 214.-), une vacation à CHF 55.- et l'équivalent de la TVA au taux de 7.7% (CHF 103.10). * * * * *</w:t>
      </w:r>
    </w:p>
    <w:p>
      <w:r>
        <w:t>- 15/16 - P/11667/2018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