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AARP/378/2015 vom 4. September 2015</w:t>
      </w:r>
    </w:p>
    <w:p>
      <w:r>
        <w:t>GE Cour de justice, 2015-09-04, FR</w:t>
      </w:r>
    </w:p>
    <w:p>
      <w:r>
        <w:rPr>
          <w:b/>
        </w:rPr>
        <w:t xml:space="preserve">Quelle: </w:t>
      </w:r>
      <w:r>
        <w:t>https://mcp.opencaselaw.ch/entscheid/ge_gerichte_AARP_378_2015</w:t>
      </w:r>
    </w:p>
    <w:p>
      <w:r>
        <w:t>FR: GE_GERICHTE AARP/378/2015 du 4 septembre 2015</w:t>
      </w:r>
    </w:p>
    <w:p>
      <w:r>
        <w:t>IT: GE_GERICHTE AARP/378/2015 del 4 settembre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- 6/14 - P/12690/2014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2.1.2. La directive sur le retour 2008/115/CE,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 consid. 1.1) ne s'opposent pas au principe de la poursuite pénale d'un étranger, dans un Etat membre, du chef de séjour illégal. Seul le type de sanction susceptible d'être infligé est limité.</w:t>
      </w:r>
    </w:p>
    <w:p>
      <w:r>
        <w:rPr>
          <w:b/>
        </w:rPr>
        <w:t>E. 2.2</w:t>
      </w:r>
    </w:p>
    <w:p>
      <w:r>
        <w:t>Il ne fait aucun doute que l'appelant ne disposait pas des autorisations nécessaires pour séjourner en Suisse entre le 9 juin 2014 et le 28 juin suivant, puis du 18 juillet 2014 au 31 juillet suivant. L'appelant lui-même a reconnu l'irrégularité de son séjour, dont devant le juge de première instance, dûment assisté de son conseil, avant de se raviser en procédure d'appel. L'appelant est le seul responsable de la situation créée et il reconnaît n'avoir entrepris, durant cette période, aucune démarche en vue de son retour dans son pays d'origine, ayant au contraire refusé l’aide financière proposée par les autorités de C______ à cet effet. Vu qu'il n'existait à l'époque considérée aucun empêchement sérieux, situationnel ou personnel, au retour de l'appelant dans son pays d'origine, l'infraction de séjour illégal qui lui est reprochée est bien réalisée, étant précisé que les ennuis que l’appelant dit avoir dans son pays ne sont absolument pas étayés, l’appelant ayant, au demeurant, donner son accord à un départ volontaire devant le premier juge. Le jugement entrepris doit être confirmé sur ce point.</w:t>
      </w:r>
    </w:p>
    <w:p>
      <w:r>
        <w:rPr>
          <w:b/>
        </w:rPr>
        <w:t>E. 3.1</w:t>
      </w:r>
    </w:p>
    <w:p>
      <w:r>
        <w:t>L'infraction à l'art. 19 al. 1 LStup est passible d'une peine privative de liberté de trois ans au plus ou d'une peine pécuniaire, celles réprimées à l'art. 115 al. 1 LEtr d'une peine privative de liberté d'un an au plus ou d'une peine pécuniaire.</w:t>
      </w:r>
    </w:p>
    <w:p>
      <w:r>
        <w:t>- 7/14 - P/12690/2014 3.2.1.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3.2.2.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(ATF 138 IV 113 consid. 3.4) ; en présence d'une ordonnance pénale, la date de l'échéance du délai d'opposition est, en revanche, déterminante (M. DUPUIS / B. GELLER / G. MONNIER / L. MOREILLON / C. PIGUET / C. BETTEX / D. SOLL (éd.), Code pénal, Petit commentaire, Bâle 2012, n. 26 ad art. 49), cette ordonnance valant, en cas de contestation, simple acte d'accusation soumis au Tribunal (art. 356 al. 1 2e phrase CPP). La fixation d'une peine d'ensemble n'est pas possible en cas de sanctions de genre différent. Ainsi, une sanction pécuniaire ne peut être prononcée comme peine complémentaire d'une peine privative de liberté (ATF 137 IV 57 consid. 4.3). 3.2.3. Conformément à l'art. 34 CP, la peine pécuniaire est fixée en jours-amende dont le tribunal détermine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t>- 8/14 - P/12690/2014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toutefois être inférieur à CHF 10.- (ATF 135 IV 180 consid. 1.4.2 p. 185). 3.2.4.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w:t>
      </w:r>
    </w:p>
    <w:p>
      <w:r>
        <w:t>- 9/14 - P/12690/2014 3.3.1. En l'espèce, la faute de l'appelant n'est pas anodine. Il fait entièrement fi des normes en vigueur, demeurant en Suisse sans droit et s’adonnant à un trafic de stupéfiants par appât d’un gain facile. Ses mobiles sont égoïstes. Sa collaboration à la procédure est médiocre. Bien qu’il ait immédiatement reconnu résider illégalement en Suisse, il pouvait toutefois difficilement contester les charges, étant interpellé sur le territoire où il séjourne sans droit. De plus, l’appelant a contesté, durant la procédure de première instance, prendre part à un trafic de stupéfiants, malgré la drogue retrouvée sur lui lors de son interpellation et les éléments à charge retenus contre lui. Bien que conscient de l'illicéité de son comportement, la prise de conscience de l'appelant reste superficielle. Il n'entreprend aucune démarche en vue de son retour en H______ et persiste à refuser l'aide qui lui est proposée en ce sens. La situation personnelle de l'appelant ne révèle aucun facteur à décharge, sa vraisemblable absence totale de liens avec la Suisse rendant encore moins compréhensible son insistance à rester dans ce pays. L’appelant n’allègue pas être toxicomane. Le sursis est inenvisageable en l'absence de modification de la situation personnelle de l'appelant, lequel a déjà bénéficié d’une telle opportunité en plus d’une libération conditionnelle. Pour les mêmes motifs, une exemption de peine ne saurait entrer en ligne de compte. 3.3.2. Compte tenu de la jurisprudence citée, la question du prononcé d’une peine d’ensemble ne se pose pas pour les condamnations des 18 juillet 2014 et 1er décembre 2014, dans la mesure où elles ont donné lieu une peine privative de liberté. A contrario, la peine à fixer dans le cadre de la présente procédure étant du même genre que celle infligée le 28 août 2014, elle doit être déclarée complémentaire, ce qui peut être revu par la CPAR même en l'absence de grief spécifique à cet égard, afin d'éviter une décision inéquitable (art. 404 al. 2 CPP), dans la mesure où l’issue n’est pas défavorable à l’appelant. Si la CPAR avait eu à connaître de l'ensemble des infractions reprochées, elle aurait arrêté, compte tenu des spécificités de la faute de l'appelant, du concours avec le délit à la LStup et des éléments de sa situation personnelle, une peine pécuniaire de 90 jours-amende. Le jugement entrepris sera dès lors réformé en ce sens que l'appelant sera condamné à une peine pécuniaire de 30 jours-amende, dite peine étant complémentaire à celle prononcée le 28 août 2014. Compte tenu de la condition modeste de l'appelant, le montant du jour-amende sera fixé au minimum jurisprudentiel de CHF 10.-.</w:t>
      </w:r>
    </w:p>
    <w:p>
      <w:r>
        <w:t>- 10/14 - P/12690/2014 Le jugement entrepris sera réformé en conséquence.</w:t>
      </w:r>
    </w:p>
    <w:p>
      <w:r>
        <w:rPr>
          <w:b/>
        </w:rPr>
        <w:t>E. 4</w:t>
      </w:r>
    </w:p>
    <w:p>
      <w:r>
        <w:t>L'appelant, qui succombe partiellement, supportera la moitié des frais de la procédure d'appel, qui comprennent un émolument de jugement de CHF 1'500.- (art. 428 CPP et 14 al. 1 let. e du Règlement fixant le tarif des frais en matière pénale du 22 décembre 2010 [RTFMP ; RS E 4 10.03]).</w:t>
      </w:r>
    </w:p>
    <w:p>
      <w:r>
        <w:rPr>
          <w:b/>
        </w:rPr>
        <w:t>E. 5.1</w:t>
      </w:r>
    </w:p>
    <w:p>
      <w:r>
        <w:t>Les frais imputables à la défense d’office et à l'assistance judiciaire gratuite sont des débours (art. 422 al. 2 let. a CPP) qui constituent des frais de procédure (art. 422 al. 1 CPP).</w:t>
      </w:r>
    </w:p>
    <w:p>
      <w:r>
        <w:rPr>
          <w:b/>
        </w:rPr>
        <w:t>E. 5.2</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8 août 2014.</w:t>
      </w:r>
    </w:p>
    <w:p>
      <w:r>
        <w:rPr>
          <w:b/>
        </w:rPr>
        <w:t>E. 5.3</w:t>
      </w:r>
    </w:p>
    <w:p>
      <w:r>
        <w:t>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w:t>
      </w:r>
    </w:p>
    <w:p>
      <w:r>
        <w:t>- 11/14 - P/12690/2014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5.4</w:t>
      </w:r>
    </w:p>
    <w:p>
      <w:r>
        <w:t>En l’espèce, A______ a été mis au bénéfice de l'assistance judiciaire, avec effet au 8 août 2014. En l'absence de production d'une note de frais afférente à la procédure d'appel, la CPAR est amenée à apprécier l'indemnité due à Me B______, conseil de l'appelant, ex aequo et bono. Au vu de la nature de l’affaire, portant essentiellement sur des questions juridiques, un entretien avec le mandant n’apparaît pas indispensable. S’agissant d’une procédure écrite, la CPAR retiendra 2 heures et 30 minutes d’activité de chef d’étude au taux horaire de CHF 200.- pour la rédaction du mémoire d’appel au regard de son contenu et des arguments soulevés, dont certains ne s’appliquent pas au cas d’espèce. L'indemnisation sera dès lors accordée à hauteur de CHF 648.- (indemnité forfaitaire de 20% [CHF 100.-] et TVA à 8% [CHF 48.-] comprises [décision de la Cour des plaintes du Tribunal pénal fédéral BB.2015.33 du 28 juillet 2015 consid. 5.5 et ordonnance de la Cour des plaintes du Tribunal pénal fédéral BB.2015.35 du 3 août 2015 consid. 6.8]). * * * * *</w:t>
      </w:r>
    </w:p>
    <w:p>
      <w:r>
        <w:t>- 12/14 - P/12690/2014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