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AARP/377/2016 vom 20. September 2016</w:t>
      </w:r>
    </w:p>
    <w:p>
      <w:r>
        <w:t>GE Cour de justice, 2016-09-20, FR</w:t>
      </w:r>
    </w:p>
    <w:p>
      <w:r>
        <w:rPr>
          <w:b/>
        </w:rPr>
        <w:t xml:space="preserve">Quelle: </w:t>
      </w:r>
      <w:r>
        <w:t>https://mcp.opencaselaw.ch/entscheid/ge_gerichte_AARP_377_2016</w:t>
      </w:r>
    </w:p>
    <w:p>
      <w:r>
        <w:t>FR: GE_GERICHTE AARP/377/2016 du 20 septembre 2016</w:t>
      </w:r>
    </w:p>
    <w:p>
      <w:r>
        <w:t>IT: GE_GERICHTE AARP/377/2016 del 20 settembre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w:t>
      </w:r>
    </w:p>
    <w:p>
      <w:r>
        <w:t>- 5/11 - P/956/2014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L'infraction de conduite d'un véhicule en cas de retrait du permis idoine est puni d'une peine privative de liberté de trois ans au plus ou d'une peine pécuniaire. 2.2.1.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L'effet de la peine sur l'avenir du condamné doit également être évalué. A ce propos, le message du Conseil fédéral expose que le 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ATF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w:t>
      </w:r>
    </w:p>
    <w:p>
      <w:r>
        <w:t>- 6/11 - P/956/2014 exagérément sévère ou clémente au point de constituer un abus du pouvoir d'appréciation (ATF 136 IV 55 consid. 5.6 p. 61 ; arrêt du Tribunal fédéral 6B_1249/2014 du 7 septembre 2015 consid. 1.2).</w:t>
      </w:r>
    </w:p>
    <w:p>
      <w:r>
        <w:t>2.2.2. D'après la conception des nouvelles dispositions de la partie générale du code pénal, la peine pécuniaire constitue la sanction principale dans le domaine de la petite et moyenne criminalité (ATF 134 IV 97 consid. 4 p. 100 ss).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(ATF 134 IV 97 consid. 4.2.2 p. 101, 82 consid. 4.1 p. 85). Le choix du type de sanction doit être opéré en tenant compte au premier chef de l'adéquation d'une sanction déterminée, de ses effets sur l'auteur et sur sa situation sociale ainsi que de son efficacité du point de vue de la prévention (ATF 134 IV 97 consid. 4.2 p. 100, 82 consid. 4.1 p. 84/85).</w:t>
      </w:r>
    </w:p>
    <w:p>
      <w:r>
        <w:t>2.2.3. Toute personne dont la culpabilité justifierait une condamnation à six mois de privation de liberté ou à 180 jours-amende au plus peut en principe être condamnée à fournir un travail d'intérêt général si elle accepte ce genre de peine et s'il n'est pas nécessaire de prononcer une peine privative de liberté ferme (ATF 134 IV 97 consid. 6.3.3.2 p. 107 s.). Cette peine tend à favoriser, à des fins de prévention spéciale, le maintien de l'auteur dans son milieu social, en lui faisant compenser l'infraction par une prestation personnelle en faveur de la communauté plutôt que par une privation de liberté ou une peine pécuniaire (ATF 134 IV 97 consid. 6.3.2 p. 107). Le prononcé d'un travail d'intérêt général n'est pas réservé exclusivement aux personnes exerçant une activité lucrative. La peine de travail concerne toutes les catégories de condamnés pour autant que les conditions en soient réalisées et qu'elle apparaisse adéquate (arrêt du Tribunal fédéral 6B_541/2007 du 13 mai 2008 consid. 4.2.4). Bien que le texte légal ne prévoie aucune cause d'exclusion tenant à la personne de l'auteur, seule peut être condamnée à fournir un travail d'intérêt général une personne apte au travail (ATF 134 IV 97 consid. 6.3.3.3 p. 109).</w:t>
      </w:r>
    </w:p>
    <w:p>
      <w:r>
        <w:rPr>
          <w:b/>
        </w:rPr>
        <w:t>E. 2.3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(cf. Message précité p. 1855). Il s'agit de déterminer s'il existe des circonstances si favorables qu'elles compensent tout au moins la crainte résultant de l'indice défavorable constitué par l'antécédent. Tel peut être le cas lorsque les faits les plus</w:t>
      </w:r>
    </w:p>
    <w:p>
      <w:r>
        <w:t>- 7/11 - P/956/2014 récents n'ont aucun rapport avec le jugement antérieur ou encore en cas de modification particulièrement positive dans la vie de l'auteur (ATF 134 IV 1 consid. 4.2.3 p. 6 ; arrêt du Tribunal fédéral 6B_352/2014 du 22 mai 2015 consid. 7.1. non publié in ATF 141 IV 273). Les condamnations étrangères doivent être prises en considération sous réserve qu'au regard des principes généraux du droit suisse, elles ne sanctionnent pas un comportement qu'il est inopportun de réprimer, qu'elles ne prononcent pas une peine disproportionnée ou qu'elles n'aient pas été infligées au terme d'une procédure irrégulière (cf. Message précité p. 1856). Mais cette réserve doit être rapprochée de celle de l'ordre public (arrêts du Tribunal fédéral 6B_244/2010 du 4 juin 2010 consid. 1 et 6S.253/2004 du 3 novembre 2004 consid. 4). Il n'est pas nécessaire que le juge étranger ait statué comme l'aurait fait le juge suisse. Il suffit que la condamnation étrangère ne heurte pas les principes généraux du droit pénal reconnus en Suisse, quant au fait réprimé, à la peine infligée et à l'équité de la procédure.</w:t>
      </w:r>
    </w:p>
    <w:p>
      <w:r>
        <w:rPr>
          <w:b/>
        </w:rPr>
        <w:t>E. 2.4</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fixation d'une peine d'ensemble n'est pas possible en cas de sanctions de genre différent. Ainsi, une peine privative de liberté ne peut être prononcée comme peine complémentaire d'une sanction pécuniaire (ATF 137 IV 57 consid. 4.3.1).</w:t>
      </w:r>
    </w:p>
    <w:p>
      <w:r>
        <w:rPr>
          <w:b/>
        </w:rPr>
        <w:t>E. 2.5</w:t>
      </w:r>
    </w:p>
    <w:p>
      <w:r>
        <w:t>En l'espèce, la faute de l'appelant n'est pas négligeable. Son attitude désinvolte vis-à-vis des dispositions en vigueur en matière de permis de conduire aurait pu nuire à la sécurité d'autrui et dénote un mépris des règles de la circulation routière, ce d'autant plus qu'il a agi à deux reprises, récidivant ainsi en pleine connaissance de cause. Son mobile est égoïste vu les autres solutions qu'il aurait d'ores et déjà pu mettre en place à l'époque des faits reprochés. Sa collaboration à l'enquête ne peut être qualifiée de bonne, l'appelant n'ayant fait preuve de transparence qu'une fois confronté à l'évidence. Ses cinq antécédents caractéristiques témoignent d'une prise de conscience absente au moment des faits et encore trop récente pour être, à ce jour, qualifiée de complète. En effet, même s'il convient de prendre acte des mesures organisationnelles prises par l'appelant afin de poursuivre ses activités personnelles et professionnelles tout en respectant l'ordre juridique suisse, il lui a quand même fallu sept condamnations pour réagir. Il y a concours d'infractions, ce qui conduit à une augmentation de la peine dans une juste proportion et aucune des circonstances atténuantes prévues par l'art. 48 CP n'est réalisée, ni d’ailleurs plaidée.</w:t>
      </w:r>
    </w:p>
    <w:p>
      <w:r>
        <w:t>- 8/11 - P/956/2014 Bien que les antécédents et le passé carcéral de l'appelant tendent au prononcé d'une peine privative de liberté, sa situation actuelle et l'effet de la peine sur son avenir influent en sa faveur. En effet, sa récente prise de conscience et les mesures drastiques prises pour éviter toute récidive semblent porter leurs fruits si l'on se réfère à l'absence de toute condamnation ultérieure. Ajouté au soutien qu'il reçoit de sa compagne, ce sont autant d'éléments propres à lui éviter de se retrouver dans des situations où la seule échappatoire passe par une transgression de la loi. Si une peine pécuniaire paraît être une sanction inadéquate, notamment au regard d'une situation financière délicate, le travail d'intérêt général constitue une alternative suffisamment dissuasive au vu des mesures organisationnelles prises récemment. Une telle sanction s'impose d'autant plus que l'appelant y a adhéré à chaque fois qu'il a été interpellé et qu'il est apparemment en bonne forme physique vu son activité professionnelle. Certes, l'appelant n'a pas pris des conclusions formelles en ce sens, mais une sanction sous forme de travail d'intérêt général correspond à la requalification de la peine prononcée qu'il avait requise. Eu égard à la faute commise et à la récidive intervenue à un peu plus d'une année d'intervalle, une quotité de 720 heures tient adéquatement compte des critères de l'art. 47 CP, outre qu'elle n'outrepasse pas celle prononcée par le premier juge et correspond à celle sollicitée par l'appelant, en application du taux de conversion (art. 39 al. 2 CP). Dite peine ne sera pas tenue pour partiellement complémentaire à celle prononcée le</w:t>
      </w:r>
    </w:p>
    <w:p>
      <w:r>
        <w:rPr>
          <w:b/>
        </w:rPr>
        <w:t>E. 6</w:t>
      </w:r>
    </w:p>
    <w:p>
      <w:r>
        <w:t>novembre 2014 par le Tribunal correctionnel de Thonon-les-Bains (art. 49 al. 2 CP), dans la mesure où elles sont de genre différent. Il n'y a pas à en augmenter la quotité pour autant, dans la mesure où la peine prononcée constitue la durée maximale du travail d'intérêt général et que l'interdiction de la reformatio in pejus s'y oppose. Par ailleurs, ladite condamnation française constitue un obstacle au bénéfice du sursis, étant relevé que l'évolution favorable de l'appelant n'est pas à ce point exceptionnelle pour déroger à la règle stricte voulue par le législateur, même si les faits à l'origine des deux condamnations visent des actes de nature différente. Le jugement entrepris sera modifié dans le sens des considérants et l'appel admis dans la mesure de ce qui précède. 3. Bien qu'ayant été expressément invité à le faire, l'appelant, assisté d'un avocat, n'a émis aucune prétention d'indemnisation. Par voie de conséquence, la CPAR considérera qu'il y a renoncé (art. 429 al. 1 let. a et 2 CPP, art 436 al. 2 CPP), de sorte qu'aucune indemnité ne lui sera allouée. 4. 4.1. Selon les art. 426 al. 1 et 428 al. 1 CPP, les frais de la procédure de première instance – que la CPAR est tenue de revoir lorsqu'elle rend une nouvelle décision (art. 428 al. 3 CPP) – et d'appel sont mis à la charge des parties dans la mesure où elles succombent.</w:t>
      </w:r>
    </w:p>
    <w:p>
      <w:r>
        <w:t>- 9/11 - P/956/2014 4.2. Le verdict de culpabilité de l'appelant étant confirmé, il n'y a lieu de revenir sur les frais de première instance qu'en ce qui concerne l'émolument de jugement complémentaire (CHF 600.-), lequel sera mis à la charge de l'Etat de Genève. L'appelant obtenant implicitement gain de cause en appel, il ne sera pas perçu de frais (art. 428 CPP a contrario).</w:t>
      </w:r>
    </w:p>
    <w:p>
      <w:r>
        <w:t>* * * * *</w:t>
      </w:r>
    </w:p>
    <w:p>
      <w:r>
        <w:t>- 10/11 - P/956/2014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