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AARP/376/2016 vom 10. Juni 2016</w:t>
      </w:r>
    </w:p>
    <w:p>
      <w:r>
        <w:t>GE Cour de justice, 2016-06-10, FR</w:t>
      </w:r>
    </w:p>
    <w:p>
      <w:r>
        <w:rPr>
          <w:b/>
        </w:rPr>
        <w:t xml:space="preserve">Quelle: </w:t>
      </w:r>
      <w:r>
        <w:t>https://mcp.opencaselaw.ch/entscheid/ge_gerichte_AARP_376_2016</w:t>
      </w:r>
    </w:p>
    <w:p>
      <w:r>
        <w:t>FR: GE_GERICHTE AARP/376/2016 du 10 juin 2016</w:t>
      </w:r>
    </w:p>
    <w:p>
      <w:r>
        <w:t>IT: GE_GERICHTE AARP/376/2016 del 10 giugno 2016</w:t>
      </w:r>
    </w:p>
    <w:p>
      <w:pPr>
        <w:pStyle w:val="Heading2"/>
      </w:pPr>
      <w:r>
        <w:t>Erwägungen</w:t>
      </w:r>
    </w:p>
    <w:p>
      <w:r>
        <w:rPr>
          <w:b/>
        </w:rPr>
        <w:t>E. 1.1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w:t>
      </w:r>
    </w:p>
    <w:p>
      <w:r>
        <w:t>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6B_109/2014 du 25 septembre 2014 consid. 2.1 ; 6B_398/2013 du 11 juillet 2013 consid. 2.1 et 6B_642/2012 du 22 janvier 2013 consid. 1.1).</w:t>
      </w:r>
    </w:p>
    <w:p>
      <w:r>
        <w:rPr>
          <w:b/>
        </w:rPr>
        <w:t>E. 2.1</w:t>
      </w:r>
    </w:p>
    <w:p>
      <w:r>
        <w:t>A teneur de l'art. 69 al. 1 CP, alors même qu'aucune personne déterminée n'est punissable, le juge prononce la confiscation d'objets qui ont servi ou devaient servir</w:t>
      </w:r>
    </w:p>
    <w:p>
      <w:r>
        <w:t>- 5/10 - P/2281/2016 à commettre une infraction ou qui sont le produit d'une infraction, si ces objets compromettent la sécurité des personnes, la morale ou l'ordre public. Au sens de cette disposition, les objets susceptibles d'être confisqués sont soit des instrumenta sceleris, à savoir des objets qui ont servi ou devaient servir à commettre une infraction, soit des producta sceleris, c'est-à-dire des objets qui sont le produit de l'infraction (M. VOUILLOZ, Le nouveau droit suisse de la confiscation pénale et de la créance compensatrice, art. 69 à 73 CP, PJA 2007 p. 1379). La confiscation d'un objet qui a servi à commettre une infraction ne doit être ordonnée que s'il est suffisamment vraisemblable que, sans cette mesure, la sécurité des personnes, la morale ou l'ordre public seraient mis en péril (ATF 116 IV 117 consid. 1 p. 118-119). La confiscation sert à empêcher que l'auteur se trouve dans une situation qui lui permette de faire courir un danger du même genre que celui qu'il vient de provoquer pour autrui. Le juge doit ainsi, face à une situation donnée, établir un pronostic et déterminer si le fait qu'à l'avenir l'objet demeure en mains de l'auteur est de nature à mettre en danger la sécurité d'autrui. Tel sera le cas si l'objet en cause a été acquis pour commettre des infractions et si, dans les mains de l'auteur, il a été utilisé plusieurs fois dans ce but, ou encore qu'il ne puisse servir qu'à cela (ATF 116 IV 117 consid. 2a p. 119-120). Le juge doit renoncer à confisquer l'objet si le danger a été complètement écarté ou si une mesure moins grave que la confiscation suffit pour atteindre le but visé (ATF 123 IV 55 consid. 1a p. 57). Par ailleurs, la confiscation par le juge pénal d'un objet dangereux qui n'a aucun rapport avec l'acte délictueux viole le droit fédéral (ATF 129 IV 81 consid. 4.1 et 4.2 p. 93-94).</w:t>
      </w:r>
    </w:p>
    <w:p>
      <w:r>
        <w:rPr>
          <w:b/>
        </w:rPr>
        <w:t>E. 2.2</w:t>
      </w:r>
    </w:p>
    <w:p>
      <w:r>
        <w:t>En l'espèce, le premier juge a inversé les IMEI et les numéros d'appel des téléphones retrouvés sur le prévenu, correctement indiqués dans l'inventaire du</w:t>
      </w:r>
    </w:p>
    <w:p>
      <w:r>
        <w:rPr>
          <w:b/>
        </w:rPr>
        <w:t>E. 3</w:t>
      </w:r>
    </w:p>
    <w:p>
      <w:r>
        <w:t>février 2016, comme la police l'avait d'ailleurs fait lors de son premier interrogatoire. En effet, le téléphone répondant au n° d'appel 1______ porte l'IMEI 3______ et celui du 2______, reconnu comme étant le numéro servant au trafic de stupéfiants à la fois par l'appelant mais également par D______, a l'identification IMEI 4______.</w:t>
      </w:r>
    </w:p>
    <w:p>
      <w:r>
        <w:t>- 6/10 - P/2281/2016 Selon les pièces n° 3 et 4 produites par l'appelant, l'IMEI 3______ correspond à l'iPhone 5, et non au Nokia bleu également séquestré, contrairement à ce qui a été retenu en première instance. Ainsi, l'iPhone correspondait au numéro d'appel 1______ et à l'IMEI 3______ et non au numéro servant au trafic de stupéfiants. Aucun élément du dossier n'établit de lien entre cet appareil et les faits qui sont reprochés à A______, ni ne remet en question l'utilisation strictement personnelle de cet appareil par le prévenu. En particulier, il n'est pas évoqué que la carte SIM portant le numéro d'appel 2______ ayant servi au trafic aurait été insérée à un moment ou un autre dans cet appareil. Partant, le téléphone iPhone 5, IMEI 3______ ainsi que la carte SIM numéro d'appel 1______, seront restitués à l'appelant et le jugement du Tribunal correctionnel modifié sur ce point.</w:t>
      </w:r>
    </w:p>
    <w:p>
      <w:r>
        <w:rPr>
          <w:b/>
        </w:rPr>
        <w:t>E. 3.1</w:t>
      </w:r>
    </w:p>
    <w:p>
      <w:r>
        <w:t>L'appel ayant été admis, il ne sera pas perçu de frais (art. 428 CPP).</w:t>
      </w:r>
    </w:p>
    <w:p>
      <w:r>
        <w:rPr>
          <w:b/>
        </w:rPr>
        <w:t>E. 3.2</w:t>
      </w:r>
    </w:p>
    <w:p>
      <w:r>
        <w:t>Selon l'art. 82 CPP, le Tribunal correctionnel avait l'obligation de rendre un jugement motivé, la peine prononcée dépassant deux ans, de sorte que l'émolument de jugement de CHF 2'000.- n'est pas lié à l'annonce d'appel. Vu l'aspect accessoire de la question, l'émolument aurait d'ailleurs été identique si le Tribunal correctionnel avait ordonné la restitution du téléphone. Par conséquent, il n'y a pas de raison de ne pas mettre ces frais, qui ont trait à la procédure de première instance, non d'appel, à la charge de l'appelant, condamné.</w:t>
      </w:r>
    </w:p>
    <w:p>
      <w:r>
        <w:rPr>
          <w:b/>
        </w:rPr>
        <w:t>E. 4.1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4.2.1.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- 7/10 - P/2281/2016 Cette dernière disposition prescrit que l'indemnité, en matière pénale, est calculée selon le tarif horaire suivant, débours de l'étude inclus : avocat stagiaire CHF 65.- (let. a) ; collaborateur CHF 125.- (let. b) ; chef d'étude CHF 200.- (let. c). En cas d'assujettissement, l'équivalent de la TVA est versé en sus. 4.2.2.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Le travail consistant en des recherches juridiques, sauf questions particulièrement pointues, n'est pas indemnisé, l'Etat ne devant pas assumer la charge financière de la formation de l'avocat stagiaire, laquelle incombe à son maître de stage, ou la formation continue de l'avocat breveté (AARP/331/2015 du 27 juillet 2015 ; AARP/325/2015 du 20 juillet 2015 et AARP/300/2015 du 16 juillet 2015).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En revanche, il n'y a pas lieu à indemnisation au titre de l'assistance juridique cantonale d'une visite postérieure à la décision (décision de la Cour des plaintes du TPF BB.2015.93 du 3 novembre 2015 consid. 4.2.3). Le temps considéré admissible pour les visites dans les établissements du canton est d'une heure et 30 minutes pour les avocats et une heure pour les avocats-stagiaires, ce qui comprend le temps de déplacement. 4.2.3.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t>- 8/10 - P/2281/2016</w:t>
      </w:r>
    </w:p>
    <w:p>
      <w:r>
        <w:rPr>
          <w:b/>
        </w:rPr>
        <w:t>E. 4.3</w:t>
      </w:r>
    </w:p>
    <w:p>
      <w:r>
        <w:t>En l'espèce, il convient de déduire de l'état de frais produit par le défenseur d'office de A______ les 20 minutes de recherches juridiques ; les trois heures et quart consacrées au rendez-vous avec son client le 14 juin 2016 seront réduites forfaitairement à une heure trente minutes, soit le tarif forfaitaire pour l'avocat breveté, déplacement compris.</w:t>
      </w:r>
    </w:p>
    <w:p>
      <w:r>
        <w:rPr>
          <w:b/>
        </w:rPr>
        <w:t>E. 4.4</w:t>
      </w:r>
    </w:p>
    <w:p>
      <w:r>
        <w:t>En conclusion, l'indemnité sera arrêtée à CHF 887.85.-, correspondant à 4 heures 35 minutes d'activité au tarif de CHF 125.-/heure plus vacation à CHF 35.-, majoration forfaitaire de 20% (CHF 121.60) et l'équivalent de la TVA au taux de 8% (CHF 58.35), ainsi que le remboursement de la facture d'interprète pour CHF 100.-. * * * * *</w:t>
      </w:r>
    </w:p>
    <w:p>
      <w:r>
        <w:t>- 9/10 - P/2281/2016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