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AARP/374/2018 vom 8. November 2018</w:t>
      </w:r>
    </w:p>
    <w:p>
      <w:r>
        <w:t>GE Cour de justice, 2018-11-08, FR</w:t>
      </w:r>
    </w:p>
    <w:p>
      <w:r>
        <w:rPr>
          <w:b/>
        </w:rPr>
        <w:t xml:space="preserve">Quelle: </w:t>
      </w:r>
      <w:r>
        <w:t>https://mcp.opencaselaw.ch/entscheid/ge_gerichte_AARP_374_2018</w:t>
      </w:r>
    </w:p>
    <w:p>
      <w:r>
        <w:t>FR: GE_GERICHTE AARP/374/2018 du 8 novembre 2018</w:t>
      </w:r>
    </w:p>
    <w:p>
      <w:r>
        <w:t>IT: GE_GERICHTE AARP/374/2018 del 8 novembre 2018</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 notamment la question de la culpabilité, le cas échéant en rapport avec chacun des actes (let. a).</w:t>
      </w:r>
    </w:p>
    <w:p>
      <w:r>
        <w:t>La Chambre limite son examen aux violations décrites dans l'acte d'appel (art. 404 al. 1 CPP), sauf en cas de décisions illégales ou inéquitables (art. 404 al. 2 CPP).</w:t>
      </w:r>
    </w:p>
    <w:p>
      <w:r>
        <w:rPr>
          <w:b/>
        </w:rPr>
        <w:t>E. 2</w:t>
      </w:r>
    </w:p>
    <w:p>
      <w:r>
        <w:t>2.1.1. La compétence donnée à un premier procureur, à un procureur général ou, s'ils n'ont pas été institués, à l'autorité de recours du canton par l'art. 40 al. 1 CPP en cas de conflit de for dans un même canton est également applicable en cas de conflit de compétence matérielle (ATF 138 IV 214 consid. 3.1 ; arrêts du Tribunal fédéral 1B_206/2017 du 12 juillet 2017 consid. 1.2, 1B_30/2013 du 3 avril 2013 consid. 1, relatifs à un conflit de compétence entre la juridiction pour mineurs et la juridiction ordinaire ; arrêt du Tribunal fédéral 1B_433/2013 du 23 avril 2014 consid. 3.2). A Genève, la Chambre pénale de recours est l'autorité compétente (art. 128 al. 2 let. a LOJ).</w:t>
      </w:r>
    </w:p>
    <w:p>
      <w:r>
        <w:t>Partant, la question de la compétence matérielle entre juridiction ordinaire et juridiction pour mineurs a été en l'occurrence définitivement tranchée par la Chambre pénale de recours (ACPR/837/2017 du 7 décembre 2017), cette décision n'ayant pas fait l'objet d'un recours. Les conclusions de l'appelante tendant au dessaisissement de la cause par les juridictions ordinaires sont donc irrecevables.</w:t>
      </w:r>
    </w:p>
    <w:p>
      <w:r>
        <w:t>2.1.2. A titre superfétatoire, il sera encore observé que, eusse-t-elle été recevable, la conclusion de l'appelante aurait dû être rejetée parce qu'infondée. Les informations</w:t>
      </w:r>
    </w:p>
    <w:p>
      <w:r>
        <w:t>- 7/17 - P/18876/2017 recueillies par l'investigation de police établissent que l'appelante est connue des autorités belges, françaises et autrichiennes, sous une dizaine d'identité correspondant à des dates de naissance se situant entre le ______ 1999 et le ______ 2002. Toutefois, à retenir la date la plus récente, elle aurait commencé ses activités délictuelles à l'âge de 11 ans déjà, et celle la plus fréquemment donnée est celle du ______ ou ______ 1999. Ces éléments conduisent à retenir que l'appelante à une tendance à se rajeunir, sans doute bien informée des conséquences favorables que cela peut emporter au plan judiciaire, et qu'il est plus plausible qu'elle soit née en ______ 1999, comme elle l'a le plus souvent indiqué, de sorte qu'elle avait 18 ans révolus en ______ 2017. Un indice supplémentaire important est qu'alors même qu'elle est en liberté, l'appelante n'a pas fourni un quelconque document susceptible d'étayer sa version. L'aspect juvénile de l'intéressée n'est pas de nature à susciter un doute, tant l'apparence peut varier d'un individu à un autre. Il n'aurait pas été opportun de procéder à une expertise osseuse étant rappelé qu'une telle expertise menée sur des personnes entre 15 et 20 ans n'établit pas un âge clairement arrêté mais une fourchette dans laquelle se situe vraisemblablement l'expertisé (ACPR/837/2017 du 7 décembre 2017 consid. 2.5 ; ACPR/584/2014 du 9 décembre 2014 consid. 3.2). En conclusion, la preuve de la majorité de l'appelante a été suffisamment établie, comme retenu à juste titre par le TMin et la CPR. 2.2.1. 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 AARP/329/2017 du 9 octobre 2017 consid. 2.2.1). Afin d'éviter des jugements contradictoires, l'art. 371 al. 2 CPP prévoit que l'appel n'est recevable que si la demande de nouveau jugement a été rejetée. En cas d'appel, la juridiction de seconde instance peut réexaminer l'application de l'art. 366 CP par le premier juge. Selon cette disposition, si le prévenu, dûment cité, ne comparaît pas aux débats de première instance, le tribunal fixe de nouveaux débats (al. 1), à moins que celui-ci ne se soit lui-même mis dans l'incapacité de participer aux débats. En pareille circonstance, le tribunal peut engager aussitôt la procédure par défaut (al. 3), soit à la première audience sans qu'une nouvelle convocation ne soit nécessaire (L. MOREILLON / A. PAREIN-REYMOND [éds], Code de procédure pénale – Petit commentaire, 2e éd., Bâle 2016, n. 13 ad art. 366 ; A. KUHN / Y. JEANNERET [éds], Commentaire romand, Code de procédure pénale suisse, Bâle 2011, n. 31 ad art. 366 ; M. NIGGLI / M. HEER / H. WIPRÄCHTIGER [éds], Basler Kommentar Schweizerische Strafprozessordnung / Jugendstrafprozessordnung : Art. 1-195 StPO, 2e éd., Bâle 2014, n. 9 ad art. 366).</w:t>
      </w:r>
    </w:p>
    <w:p>
      <w:r>
        <w:t>- 8/17 - P/18876/2017 Une telle incapacité fautive n'est pas définie par le texte légal, mais l'on peut penser au prévenu qui, malgré sa connaissance de la date des débats, dépose une demande d'ajournement au motif qu'il doit se rendre à l'étranger et s'y rend sans même attendre la réponse de la direction de la procédure. Dans tous les cas, aucune confusion ne doit intervenir avec l'art. 114 al. 2 CPP où l'ajournement a lieu en présence d'une personne en proie à une maladie ou un accident (L. MOREILLON / A. PAREIN- REYMOND [éds], op. cit., n. 14 ad art. 366 et référence citée). La procédure par défaut ne peut être engagée que si le prévenu a eu suffisamment l'occasion de s'exprimer auparavant sur les faits qui lui sont reprochés et si les preuves réunies permettent de rendre un jugement en son absence (al. 4). 2.2.2. En l'espèce, l'appelante, dûment citée, s'est placée dans une incapacité fautive de participer aux débats de première instance puisqu'elle ne s'est plus intéressée à la procédure à compter de sa libération, ne se rendant notamment pas joignable, pas même par son conseil. Précédemment, elle avait été entendue à trois reprises, par la police et le TMin. Lors de ces auditions, elle avait pu se prononcer sur les faits, qu'elle a intégralement reconnus, et être confrontée à la version de sa comparse. Le premier juge était par conséquent fondé à utiliser la faculté offerte par la loi et engager la procédure par défaut. L'appelante ne le conteste d'ailleurs pas, se contentant d'affirmer qu'il aurait dû y renoncer au profit de ses réquisitions de preuve tendant à établir la situation des femmes Roms dans leur communauté. Or, les deux questions ne sont nullement liées. Partant, c'est à bon droit que le Tribunal de police a engagé la procédure par défaut, les conditions des art. 366 al. 3 et 4 CPP étaient remplies. Le jugement entrepris sera confirmé sur ce point.</w:t>
      </w:r>
    </w:p>
    <w:p>
      <w:r>
        <w:rPr>
          <w:b/>
        </w:rPr>
        <w:t>E. 3.1</w:t>
      </w:r>
    </w:p>
    <w:p>
      <w:r>
        <w:t>L'appelante ne conteste pas, à juste titre, avoir réalisé les éléments objectifs des infractions à l'art. 139 CP, passible d'une peine privative de liberté de cinq ans au plus ou d'une peine pécuniaire, aux art. 144 et 186 CP, punies d'une peine privative de liberté de trois ans au plus ou d'une peine pécuniaire, et à l'art. 115 al. 1 let. a LEtr, sanctionné d'une peine privative de liberté d'un an au plus ou d'une peine pécuniaire.</w:t>
      </w:r>
    </w:p>
    <w:p>
      <w:r>
        <w:t>Elle conclut néanmoins à son acquittement, soutenant avoir agi sous l'emprise de son ami et des autres adultes de sa communauté.</w:t>
      </w:r>
    </w:p>
    <w:p>
      <w:r>
        <w:rPr>
          <w:b/>
        </w:rPr>
        <w:t>E. 3.2</w:t>
      </w:r>
    </w:p>
    <w:p>
      <w:r>
        <w:t>Les conséquences de l'irresponsabilité totale – seul moyen à l'appui d'une conclusion en acquittement – ou restreinte d'un auteur sont prévues à l'art. 19 CP. Aux termes de cet article,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w:t>
      </w:r>
    </w:p>
    <w:p>
      <w:r>
        <w:t>- 9/17 - P/18876/2017</w:t>
      </w:r>
    </w:p>
    <w:p>
      <w:r>
        <w:t>Est irresponsable totalement ou de manière restreinte, l'auteur qui est incapable de connaître les exigences de l'ordre juridique et de s'y conformer. En d'autres termes, pour que l'art. 19 CP puisse s'appliquer, il faut que la structure mentale de l'auteur s'écarte manifestement de la moyenne par rapport aux autres sujets de droit, mais plus encore par rapport aux autres criminels (M. DUPUIS / L. MOREILLON / C. PIGUET / S. BERGER / M. MAZOU / V. RODIGARI [éds], Code pénal - Petit commentaire, 2e éd., Bâle 2017, n. 1 ad art. 19 CP ; Message du Conseil fédéral concernant la modification du code pénal du 21 septembre 1998, FF 1999 1787, p. 1812).</w:t>
      </w:r>
    </w:p>
    <w:p>
      <w:r>
        <w:rPr>
          <w:b/>
        </w:rPr>
        <w:t>E. 3.3</w:t>
      </w:r>
    </w:p>
    <w:p>
      <w:r>
        <w:t>En l'espèce, la responsabilité de l'appelante au moment des faits reprochés était à l'évidence pleine et entière. Elle a agi avec la conscience et la volonté de commettre des actes qu'elle savait illicites et qu'elle a d'emblée reconnus. Sa condition de jeune femme Roms n'a ni supprimé, ni même restreint sa faculté d'apprécier l'illégalité de ses actes ou de se déterminer d'après cette appréciation, celle-ci disposant au moment d'agir de l'ensemble de ses facultés. Il en sera toutefois tenu compte dans l'appréciation de sa situation personnelle (cf. consid. 4.4).</w:t>
      </w:r>
    </w:p>
    <w:p>
      <w:r>
        <w:t>Partant, la responsabilité de l'appelante est pleine et entière. L'appel sera rejeté sur ce point.</w:t>
      </w:r>
    </w:p>
    <w:p>
      <w:r>
        <w:rPr>
          <w:b/>
        </w:rPr>
        <w:t>E. 4</w:t>
      </w:r>
    </w:p>
    <w:p>
      <w:r>
        <w:t>4.1.1. À l'aune de l'art. 2 CP, la réforme du droit des sanctions entrée en vigueur le 1er janvier 2018 marque un durcissement du droit des sanctions et est ainsi moins favorable à la personne condamnée (M. DUPUIS / L. MOREILLON / C. PIGUET / S. BERGER / M. MAZOU / V. RODIGARI [éds], Code pénal - Petit commentaire, 2e éd., Bâle 2017, Rem. prél., n. 6 ad art. 34 à 41 CP).</w:t>
      </w:r>
    </w:p>
    <w:p>
      <w:r>
        <w:t>En particulier, la durée minimale de la peine privative de liberté est dorénavant de trois jours (art. 40 al. 1 CP), alors qu'elle était en principe de six mois sous l'ancien droit, en vigueur lors des faits (art. 40 aCP). Le juge pouvait prononcer une peine privative de liberté ferme de moins de six mois uniquement si les conditions du sursis à l'exécution de la peine n'étaient pas réunies et s'il y avait lieu d'admettre que ni une peine pécuniaire ni un travail d'intérêt général ne pouvaient être exécutés (art. 41 al. 1 aCP). Le juge devait néanmoins donner la préférence à la peine pécuniaire. En effet, le principe de la proportionnalité commandait, en cas de sanctions alternatives, de choisir celle qui portait le moins atteinte à la liberté personnelle de l'intéressé ou qui le frappait le moins durement. Pour choisir la nature de la peine, le juge devait prendre en considération l'opportunité de la sanction déterminée, ses effets sur l'auteur et son milieu social, ainsi que son efficacité préventive (ATF 134 IV 82 consid. 4.1).</w:t>
      </w:r>
    </w:p>
    <w:p>
      <w:r>
        <w:t>4.1.2. En l'espèce, il sera fait application du droit en vigueur jusqu'au 31 décembre 2017, l'acte reproché ayant été commis sous l'empire de ce droit, et le nouveau droit des sanctions n'apparaissant pas plus favorable à l'appelante, puisqu'il institue le</w:t>
      </w:r>
    </w:p>
    <w:p>
      <w:r>
        <w:t>- 10/17 - P/18876/2017 prononcé de courtes peines d'emprisonnement, auparavant soumis à des conditions strictes.</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w:t>
      </w:r>
    </w:p>
    <w:p>
      <w:r>
        <w:t>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w:t>
      </w:r>
    </w:p>
    <w:p>
      <w:r>
        <w:rPr>
          <w:b/>
        </w:rPr>
        <w:t>E. 4.3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w:t>
      </w:r>
    </w:p>
    <w:p>
      <w:r>
        <w:rPr>
          <w:b/>
        </w:rPr>
        <w:t>E. 4.4</w:t>
      </w:r>
    </w:p>
    <w:p>
      <w:r>
        <w:t>En l'espèce, la faute de l'appelante est de gravité moyenne. Elle s'est introduite par effraction chez des particuliers et y a, de concert avec sa comparse, dérobé des objets pour un butin modeste. L'atteinte au patrimoine et à la sphère privée d'autrui est demeurée modérée, sans perdre de vue que la présence de l'habitant du logement visité ainsi que l'intervention rapide de la police n'y sont pas étrangers.</w:t>
      </w:r>
    </w:p>
    <w:p>
      <w:r>
        <w:t>- 11/17 - P/18876/2017 Pour autant, l'appelante était mue par le seul appât d'un gain facile, sans égard pour la propriété d'autrui, persistant dans son activité délictuelle déjà bien ancrée, comme le montrent ses antécédents spécifiques. Si sa collaboration a été plutôt bonne durant sa détention, les faits ayant été rapidement reconnus, même s'ils pouvaient difficilement être niés, vu le cas de flagrant délit, elle a néanmoins été ternie par des explications périphériques contradictoires (relation et rôle de E______, dont l'existence n'a pas pu être démontrée, ce d'autant plus que l'hôtelier [à F______] a déclaré que seules deux jeunes filles, non accompagnées, avaient séjourné dans son établissement), ainsi que par le fait qu'elle se soit prétendue mineure. Une fois libérée, l'appelante a cessé toute collaboration, son conseil n'ayant plus de nouvelles à compter de cette date. A décharge, il sera tenu compte de sa situation personnelle, laquelle peut expliquer en partie les actes commis. Jeune femme appartenant à la communauté [des] Roms, ses conditions de vie, ainsi que l'emprise probable de sa communauté et de sa famille sur ses choix de vie ont certainement influencé son comportement. Il sera également tenu compte de son jeune âge. Ses antécédents sont multiples et spécifiques. Elle a été condamnée, mineure, à des peines privatives de liberté, ferme et avec sursis. Il y a concours d'infractions, ce qui constitue un facteur aggravant. Il faut admettre, au regard des critères rappelés ci-dessus (consid. 3.2.1), qu'une peine pécuniaire ne saurait entrer en considération, faute d'effet dissuasif. L'appelante a fait preuve d'une imperméabilité complète aux sanctions déjà prononcées, comprenant des peines d'emprisonnement. Elle a poursuivi son comportement délictuel spécifique sans amendement aucun. Par ailleurs, la peine pécuniaire ne serait pas appropriée à la situation personnelle de l'appelante dépourvue de toute source de revenu licite. Il faut donc prononcer une peine privative de liberté. Au vu de ce qui précède, une sanction de quatre mois de peine privative de liberté consacre une application correcte des critères fixés aux art. 47 et 49 CP et tient compte de manière adéquate de la gravité de sa faute et de sa situation personnelle. L'appelante ne conteste à juste titre pas l'absence de sursis, exclu par un pronostic défavorable résultant de l'absence de prise de conscience et de son parcours de multirécidiviste du cambriolage (art. 42 al. 1 CP). L'appelante sera partant condamnée à une peine privative de liberté de quatre mois et le jugement entrepris modifié sur ce point.</w:t>
      </w:r>
    </w:p>
    <w:p>
      <w:r>
        <w:rPr>
          <w:b/>
        </w:rPr>
        <w:t>E. 5.1</w:t>
      </w:r>
    </w:p>
    <w:p>
      <w:r>
        <w:t>Conformément à l'art. 66a al. 1 let. d CP, le juge expulse un étranger du territoire suisse pour une durée de cinq à quinze ans s'il est reconnu coupable de vol (art. 139 CP) en lien avec une violation de domicile (art. 186 CP), quelle que soit la</w:t>
      </w:r>
    </w:p>
    <w:p>
      <w:r>
        <w:t>- 12/17 - P/18876/2017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5.2</w:t>
      </w:r>
    </w:p>
    <w:p>
      <w:r>
        <w:t>L'appelante ayant été reconnue coupable de vol et de violation de domicile, son expulsion est obligatoire au sens de l'art. 66a al. 1 CP, ce qui n'est pas contesté. Les conditions d'une renonciation exceptionnelle à l'expulsion ne sont de toute évidence pas remplies, à défaut d'un lien quelconque avec la Suisse (art. 66a al. 2 CP) et ne sont au surplus pas plaidées.</w:t>
      </w:r>
    </w:p>
    <w:p>
      <w:r>
        <w:rPr>
          <w:b/>
        </w:rPr>
        <w:t>E. 5.3</w:t>
      </w:r>
    </w:p>
    <w:p>
      <w:r>
        <w:t>Partant, la décision entreprise sera confirmée sur ce point.</w:t>
      </w:r>
    </w:p>
    <w:p>
      <w:r>
        <w:rPr>
          <w:b/>
        </w:rPr>
        <w:t>E. 6.1</w:t>
      </w:r>
    </w:p>
    <w:p>
      <w:r>
        <w:t>L'appelante, qui succombe pour l'essentiel, supportera trois-quarts des frais de la procédure envers l'État (art. 428 CPP), qui comprennent un émolument de décision de CHF 1'500.-.</w:t>
      </w:r>
    </w:p>
    <w:p>
      <w:r>
        <w:rPr>
          <w:b/>
        </w:rPr>
        <w:t>E. 6.2</w:t>
      </w:r>
    </w:p>
    <w:p>
      <w:r>
        <w:t>Au vu de ce qui précède, en particulier de la confirmation du verdict de culpabilité, la répartition des frais de première instance ne sera pas revue (art. 428 al. 3 CPP).</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7.2.1.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110.- (let. a) ; collaborateur CHF 150.- (let. b) ; chef d'étude CHF 200.- (let. c). En cas d'assujettissement,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w:t>
      </w:r>
    </w:p>
    <w:p>
      <w:r>
        <w:t>- 13/17 - P/18876/2017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w:t>
      </w:r>
    </w:p>
    <w:p>
      <w:r>
        <w:rPr>
          <w:b/>
        </w:rPr>
        <w:t>E. 7.3</w:t>
      </w:r>
    </w:p>
    <w:p>
      <w:r>
        <w:t>En l'occurrence, seront retenues, en lien avec l'activité du défenseur d'office en appel, la durée de l'audience (00h25), ainsi que la moitié des heures consacrées à la préparation de l'audience (01h25 ; 00h15 par le chef d'étude et 01h10 par le stagiaire), vu l'absence de difficulté et d'ampleur de la cause, censée bien connue de l'avocate qui venait de la plaider en première instance. Le temps consacré à la rédaction de la déclaration d'appel ne sera pas considéré séparément, étant couvert par le forfait. Il en va de même de la prise de connaissance du dossier en appel, déjà connu, comme il vient d'être dit.</w:t>
      </w:r>
    </w:p>
    <w:p>
      <w:r>
        <w:rPr>
          <w:b/>
        </w:rPr>
        <w:t>E. 7.4</w:t>
      </w:r>
    </w:p>
    <w:p>
      <w:r>
        <w:t>En conclusion, l'indemnité sera arrêtée à CHF 289.70 correspondant à 01h35 d'activité au tarif de CHF 110.-/heure (CHF 174.15) et 00h15 d'activité au tarif de CHF 200.-/heures (CHF 50.-), plus la majoration forfaitaire de 20% (CHF 44.85) et la TVA au taux de 7.7% (CHF 20.70). * * * * *</w:t>
      </w:r>
    </w:p>
    <w:p>
      <w:r>
        <w:t>- 15/17 - P/18876/2017</w:t>
      </w:r>
    </w:p>
    <w:p>
      <w:r>
        <w:rPr>
          <w:b/>
        </w:rPr>
        <w:t>E. 12</w:t>
      </w:r>
    </w:p>
    <w:p>
      <w:r>
        <w:t>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L'activité consacrée aux conférences, audiences et autres actes de la procédure est forfaitairement majorée de 20% jusqu'à 30 heures de travail décomptées depuis l'ouverture de la procédure, 10% lorsque l'état de frais porte sur plus de 30 heures,</w:t>
      </w:r>
    </w:p>
    <w:p>
      <w:r>
        <w:t>- 14/17 - P/18876/2017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