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AARP/374/2016 vom 21. September 2016</w:t>
      </w:r>
    </w:p>
    <w:p>
      <w:r>
        <w:t>GE Cour de justice, 2016-09-21, FR</w:t>
      </w:r>
    </w:p>
    <w:p>
      <w:r>
        <w:rPr>
          <w:b/>
        </w:rPr>
        <w:t xml:space="preserve">Quelle: </w:t>
      </w:r>
      <w:r>
        <w:t>https://mcp.opencaselaw.ch/entscheid/ge_gerichte_AARP_374_2016</w:t>
      </w:r>
    </w:p>
    <w:p>
      <w:r>
        <w:t>FR: GE_GERICHTE AARP/374/2016 du 21 septembre 2016</w:t>
      </w:r>
    </w:p>
    <w:p>
      <w:r>
        <w:t>IT: GE_GERICHTE AARP/374/2016 del 21 settembre 2016</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conséquences accessoires du jugement (let. e) ; les frais, les indemnités et la réparation du tort moral (let. f).</w:t>
      </w:r>
    </w:p>
    <w:p>
      <w:r>
        <w:rPr>
          <w:b/>
        </w:rPr>
        <w:t>E. 2.1</w:t>
      </w:r>
    </w:p>
    <w:p>
      <w:r>
        <w:t>L'art. 140 CP institue une gradation dans la gravité du brigandage. Le premier niveau d'aggravation est atteint (art. 140 ch. 2 CP) lorsque l'auteur s'est muni d'une arme à feu ou d'une autre arme dangereuse. Il faut qu'il s'agisse d'une arme, qui</w:t>
      </w:r>
    </w:p>
    <w:p>
      <w:r>
        <w:t>- 8/15 - P/12881/2015 puisse être qualifiée d'arme à feu ou d'arme dangereuse et que l'auteur du brigandage ait l'arme sur lui. Il n'est en revanche pas nécessaire qu'il l'utilise ou qu'il ait la volonté de l'utiliser. Au sens de l'art. 140 ch. 2 CP, la notion d'arme dangereuse est définie indépendamment du type d'utilisation faite dans un cas particulier. La notion d'arme au sens de l'article précité correspond à celle qui ressort de la Loi sur les armes, les accessoires d'armes et les munitions du 20 juin 1997 (LArm - RS 514 54) pour les armes blanches entre autres. Il n'y a pas de place pour une interprétation large de la notion. L'arme est définie uniquement par le critère de sa finalité objective. Déterminer si elle est dangereuse dépend uniquement de son caractère objectivement dangereux et du fait de savoir si l'objet a pour finalité de causer des blessures graves. Conformément à l'art. 4 al.1 let. c LArm, sont ainsi des armes les couteaux dont la lame est libérée par un mécanisme d’ouverture automatique pouvant être actionné d’une seule main, les couteaux papillon, les couteaux à lancer et les poignards à lame symétrique. Une appréciation subjective n'est pas pertinente. L'utilisation contrairement à sa finalité d'un objet d'usage quotidien ne permet pas de considérer ce dernier comme une arme au sens de la loi. Un couteau de cuisine, bien que muni d'une lame de 20 cm, ne rentre donc pas dans cette définition, dès lors qu'utilisé conformément à sa destination, il n'est pas une arme, même s'il est incontesté qu'il peut causer des blessures graves (arrêt du Tribunal fédéral 6B_756/2010 du 6 décembre 2010 consid. 3.2 et les références citées).</w:t>
      </w:r>
    </w:p>
    <w:p>
      <w:r>
        <w:t>Ne constituent pas non plus des armes dangereuses : un couteau de poche, même ouvert (ATF 117 IV 135 consid. 1c p. 138 s.), une arme à feu factice (ATF 111 IV 49), un marteau (ATF 112 IV 13 consid. 2 p. 13 s.) ou encore un spray au poivre, à tout le moins lorsqu'il n'est pas établi qu'il contienne une substance hautement toxique (RFJ 2010 p. 123). En revanche, ont été considérés comme étant des armes dangereuses : les grenades à main, les bombes, les pétards à gaz, les "sprays", les coups de poing américains (FF 1980 p. 1231), mais également, un pistolet à gaz lacrymogène CN, la question ayant été laissée ouverte s'agissant du gaz CS (ATF 113 IV 60 consid. 1a p. 61), un revolver d'alarme chargé de cartouches contenant du gaz CN (ATF 118 IV 142 consid. 3e p. 147 s.), ainsi qu'une machette présentant une lame recourbée de 35 cm affûtée d'un côté (arrêt du Tribunal fédéral 6B_710/2007 du 6 février 2008 consid. 2.2.1).</w:t>
      </w:r>
    </w:p>
    <w:p>
      <w:r>
        <w:rPr>
          <w:b/>
        </w:rPr>
        <w:t>E. 2.2</w:t>
      </w:r>
    </w:p>
    <w:p>
      <w:r>
        <w:t>En l'espèce, les premiers juges ont retenu que les intimés C______ et E______, qui l'ont admis, avaient obtenu de l'appelant, sous la menace d'un couteau, la remise d'une montre de valeur et d'argent liquide.</w:t>
      </w:r>
    </w:p>
    <w:p>
      <w:r>
        <w:t>Un tel couteau, muni d'une lame de près de 20 cm, peut être utilisé pour l'attaque, dans la mesure où il est susceptible de causer de graves blessures. Cela étant, le point décisif n'est pas le caractère dangereux d'un objet, mais sa finalité. Or, un couteau de</w:t>
      </w:r>
    </w:p>
    <w:p>
      <w:r>
        <w:t>- 9/15 - P/12881/2015 cuisine est avant tout un outil domestique destiné à accomplir des tâches du quotidien. Au vu de ce qui précède, eu égard à la jurisprudence susmentionnée et claire à ce propos, la circonstance aggravante de l'usage d'une arme dangereuse, qui doit être interprétée restrictivement, ne saurait être appliquée au cas d'espèce, de sorte que l'appel sera rejeté et le jugement de première instance confirmé sur ce point.</w:t>
      </w:r>
    </w:p>
    <w:p>
      <w:r>
        <w:rPr>
          <w:b/>
        </w:rPr>
        <w:t>E. 3</w:t>
      </w:r>
    </w:p>
    <w:p>
      <w:r>
        <w:t>Dans la mesure où les motifs ayant conduit le Tribunal correctionnel à prononcer, par ordonnance séparée du 4 mars 2016, le maintien de l'intimé E______ en détention pour des motifs de sûretés sont, mutatis mutandis, toujours d'actualité, ce qu'il ne conteste d'ailleurs pas, cette mesure sera reconduite (ATF 139 IV 277 consid. 2.1 à 2.3). Au surplus, il est rappelé que l'intimé C______ exécute sa peine de manière anticipée.</w:t>
      </w:r>
    </w:p>
    <w:p>
      <w:r>
        <w:rPr>
          <w:b/>
        </w:rPr>
        <w:t>E. 4</w:t>
      </w:r>
    </w:p>
    <w:p>
      <w:r>
        <w:t>4.1.1.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Bâle 2011, n. 12 ss ad art. 124 CPP).</w:t>
      </w:r>
    </w:p>
    <w:p>
      <w:r>
        <w:t>- 10/15 - P/12881/2015</w:t>
      </w:r>
    </w:p>
    <w:p>
      <w:r>
        <w:rPr>
          <w:b/>
        </w:rPr>
        <w:t>E. 4.2</w:t>
      </w:r>
    </w:p>
    <w:p>
      <w:r>
        <w:t>Aux termes de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ATF 118 II 410 consid. 2 p. 413 ; arrêt du Tribunal fédéral 6S.320/2005 du 10 janvier 2006 consid. 10.2).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 Une comparaison du montant à allouer avec d'autres affaires n'interviendra qu'avec circonspection, le tort moral ressenti dépendant de l'ensemble des circonstances de l'espèce. Une telle comparaison peut toutefois se révéler, suivant les occurrences, un</w:t>
      </w:r>
    </w:p>
    <w:p>
      <w:r>
        <w:t>- 11/15 - P/12881/2015 élément utile d'orientation (ATF 138 III 337 consid. 6.3.3 p. 345 ; 130 III 699 consid. 5.1 p. 705 ; 125 III 269 consid. 2a p. 274). A titre d'exemples, les indemnités suivantes ont été allouées à des victimes de brigandage : CHF 5'000.- à une personne âgée agressée dans la rue, laquelle a subi des fractures de l'épaule, ayant conduit à une réduction de la mobilité de son bras et nécessité la pose d'une prothèse et une hospitalisation de deux mois ainsi que des séances de physiothérapie et des opérations, la victime ayant également montré des signes d'anxiété, d'isolement ainsi que d'altération des activités sociales et de la vie quotidienne (Arrêt du Tribunal fédéral 1A.294/2005 du 7 septembre 2006) ; CHF 5000.- à une personne menacée et volée par deux inconnus avec un couteau, ces faits ayant entraîné non seulement un suivi psychothérapeutique et psychiatrique ainsi qu'un traitement médical mais également des symptômes de reviviscence, de l'anxiété, de l'hypervigilance et une altération de sa vie de couple (Ordonnance non publiée de l'instance d'indemnisation LAVI GE du 3 juillet 2007) ; CHF 5'000.- à une victime de vol à main armée (arme à feu appuyée contre le cou), ayant souffert d'état de stress post-traumatique diagnostiqué pour lequel elle a suivi une psychothérapie et a été mise sous anxiolytiques et anti-dépresseurs (Ordonnance non publiée de l'instance d'indemnisation LAVI GE du 21 décembre 2004).</w:t>
      </w:r>
    </w:p>
    <w:p>
      <w:r>
        <w:rPr>
          <w:b/>
        </w:rPr>
        <w:t>E. 4.3</w:t>
      </w:r>
    </w:p>
    <w:p>
      <w:r>
        <w:t>En l'espèce, les intimés C______ et E______ n'ont acquiescé aux conclusions civiles prises par l'appelant que sur le principe, mais pas sur leur quotité, point sur lequel la CPAR doit par conséquent statuer. Les infractions dont l'appelant a été victime sont sans conteste de nature à lui causer une souffrance morale importante, vu les circonstances violentes dans lesquelles l'agression s'est déroulée, à son domicile, commise notamment par un ami, qu'il hébergeait et avec lequel il entretenait au demeurant des relations intimes. Cela étant, bien que l'appelant affirme que son activité professionnelle soit devenue pesante du fait de sa proximité avec les couteaux de cuisine et des réactions de ses collaborateurs, force est de constater qu'il n'a pas été blessé et n'a pas subi d'arrêt de travail. En outre, même s'il bénéficie depuis peu d'un suivi psychologique en lien avec l'agression dont il a été victime, l'attestation produite durant la procédure d'appel ne confirme l'existence d'aucune des séquelles alléguées par l'appelant, telles que perte de libido, troubles anxio-dépressifs, altérations sur le plan socio- psychologique, isolement ou encore symptômes de stress post-traumatique. Ainsi, il s'avère que l'indemnité pour tort moral allouée par les premiers juges, s'élevant à CHF 5'000.-, est adéquate et doit être confirmée. L'appel sera également rejeté sur ce point.</w:t>
      </w:r>
    </w:p>
    <w:p>
      <w:r>
        <w:rPr>
          <w:b/>
        </w:rPr>
        <w:t>E. 5.1</w:t>
      </w:r>
    </w:p>
    <w:p>
      <w:r>
        <w:t>Selon l'art. 136 al. 1 CPP, la direction de la procédure accorde l'assistance judiciaire à la partie plaignante pour lui permettre de faire valoir ses prétentions</w:t>
      </w:r>
    </w:p>
    <w:p>
      <w:r>
        <w:t>- 12/15 - P/12881/2015 civiles, si elle est indigente (let. a) ou si l'action civile ne paraît pas vouée à l'échec (let. b). L'assistance judiciaire comprend notamment l'exonération des frais de procédure et la désignation d'un conseil juridique gratuit (art. 136 al. 2 let. b et c CPP). Si la partie plaignante n'est pas au bénéfice de l'assistance judiciaire, les frais de procédure sont régis par l'art. 427 CPP (L. MOREILLON / A. PAREIN- REYMOND, Petit Commentaire du Code de procédure pénale, 2e éd., Bâle 2016, note 12 ad art. 136 CPP).</w:t>
      </w:r>
    </w:p>
    <w:p>
      <w:r>
        <w:rPr>
          <w:b/>
        </w:rPr>
        <w:t>E. 5.2</w:t>
      </w:r>
    </w:p>
    <w:p>
      <w:r>
        <w:t>En l'occurrence, l'appelant, partie plaignante et victime au sens de l'art. 30 de la loi fédérale sur l’aide aux victimes d’infractions du 23 mars 2007 (loi sur l’aide aux victimes, LAVI - RS 312.5) est demandeur tant au pénal qu'au civil (art. 118 al. 1 CPP). Il a été mis au bénéfice de l'assistance judiciaire et est assisté d'un conseil juridique gratuit.</w:t>
      </w:r>
    </w:p>
    <w:p>
      <w:r>
        <w:t>Ainsi, alors même qu'il succombe en appel, ses conclusions ayant été rejetées tant sur la culpabilité que sur ses conclusions civiles, il devra être exonéré des frais de la procédure d'appel, lesquels seront laissés à la charge de l'Etat.</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chef d'étude CHF 200.- (let. c). En cas d'assujettissement, l'équivalent de la TVA est versé en sus. 6.2.2.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6.2.3. Reprenant l'activité de taxation suite à l'entrée en vigueur du CPP, la CPAR a maintenu dans son principe - nonobstant l'ordonnance de la Cour des plaintes du</w:t>
      </w:r>
    </w:p>
    <w:p>
      <w:r>
        <w:t>- 13/15 - P/12881/2015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6.2.4.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t>6.3.1. En l'espèce, les états de frais produits par Me B______, conseil juridique gratuit de l'appelant, Me F______ et Me D______, défenseurs d'office des intimés E______ et C______, sont adéquats et conformes aux principes exposés ci-dessus. 6.3.2. L'indemnité de Me B______ sera arrêtée à CHF 589.70, correspondant à 7h00 d'activité au tarif de CHF 65.-/heure, plus la majoration forfaitaire de 20% (CHF 91.-), compte tenu de l'activité déployée en première instance, et la TVA au taux de 8% (CHF 43.70). 6.3.3. L'indemnité de Me F______ s'élèvera à CHF 1'900.80, correspondant à 8h00 d'activité au tarif de CHF 200.-/heure, auxquelles il convient d'ajouter le forfait pour l'activité diverse à 10% (CHF 160.-), compte tenu de l'activité déployée en première instance, et la TVA au taux de 8% (CHF 140.80).</w:t>
      </w:r>
    </w:p>
    <w:p>
      <w:r>
        <w:t>6.3.4. L'indemnité de Me D______ sera arrêtée à CHF 2'179.-, correspondant à 8h45 d'activité au tarif de CHF 200.-/heure, incluant la majoration forfaitaire de 10% (CHF 175.-), vu l'activité déployée en première instance, la TVA au taux de 8% (CHF 154.-) et les frais d'interprète. * * * * *</w:t>
      </w:r>
    </w:p>
    <w:p>
      <w:r>
        <w:t>- 14/15 - P/12881/2015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