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AARP/374/2014 vom 18. August 2014</w:t>
      </w:r>
    </w:p>
    <w:p>
      <w:r>
        <w:t>GE Cour de justice, 2014-08-18, FR</w:t>
      </w:r>
    </w:p>
    <w:p>
      <w:r>
        <w:rPr>
          <w:b/>
        </w:rPr>
        <w:t xml:space="preserve">Quelle: </w:t>
      </w:r>
      <w:r>
        <w:t>https://mcp.opencaselaw.ch/entscheid/ge_gerichte_AARP_374_2014</w:t>
      </w:r>
    </w:p>
    <w:p>
      <w:r>
        <w:t>FR: GE_GERICHTE AARP/374/2014 du 18 août 2014</w:t>
      </w:r>
    </w:p>
    <w:p>
      <w:r>
        <w:t>IT: GE_GERICHTE AARP/374/2014 del 18 agosto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- 10/25 - P/18067/2011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w:t>
      </w:r>
    </w:p>
    <w:p>
      <w:r>
        <w:t>- 11/25 - P/18067/2011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L’art. 117 CP réprime le comportement de celui qui, par sa négligence, aura causé la mort d’une personne. Il suppose la réunion de trois conditions: le décès d'une personne, une négligence et un lien de causalité entre la négligence et la mort (ATF 122 IV 145 consid. 3 p. 147). 3.1.1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S'agissant d'un accident de la route, il convient de se référer aux règles de la circulation routière (ATF 122 IV 133 consid. 2a p. 135). 3.1.2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V 145 consid. 3b/aa p. 148 ; 122 IV 17 consid. 2b p. 19 ; 121 IV 207 consid. 2a p. 211). 3.2.1 Le conducteur d'un véhicule est tenu d'en rester constamment maître, de façon à pouvoir se conformer aux devoirs de la prudence (art. 31 al. 1 de la loi fédérale sur la circulation routière du 19 décembre 1958 [LCR ; RS 741.01]). Il vouera, en particulier, son attention à la route et à la circulation (art. 3 al. 1 1ère phrase de l’ordonnance sur les règles de la circulation routière du 13 novembre 1962 [OCR ; RS 741.11]). L'attention requise du conducteur implique qu'il soit en mesure</w:t>
      </w:r>
    </w:p>
    <w:p>
      <w:r>
        <w:t>- 12/25 - P/18067/2011 de parer rapidement aux dangers qui menacent la vie, l'intégrité corporelle ou les biens matériels d'autrui et la maîtrise du véhicule exige que le conducteur soit, à tout moment, en mesure d'actionner rapidement les commandes de son véhicule en mouvement, de façon à pouvoir, en présence d'un danger, manœuvrer immédiatement et d'une manière appropriée aux circonstances (arrêts du Tribunal fédéral 6B_786/2011 du 5 juillet 2012 consid. 2.1, 6B_216/2010 du 11 mai 2010 consid. 5.1 et 6S.186/2002 du 25 juillet 2002 consid. 2.2 et les références citées). 3.2.2 Selon l'art. 37 al. 1 LCR, le conducteur qui veut s'arrêter aura égard, dans la mesure du possible, aux véhicules qui le suivent. Aux termes de l'art. 37 al. 2 LCR, les véhicules ne seront arrêtés ni parqués aux endroits où ils pourraient gêner ou mettre en danger la circulation. Un véhicule gène le trafic au sens de l'art. 37 al. 2 LCR s'il constitue un obstacle important, propre à provoquer des accidents malgré l'attention requise des autres usagers de la route ou à entraver notablement leur circulation (ATF 102 II 281 consid. 3a p. 283 et les références citées). L'art. 18 OCR, qui concrétise l'art. 37 al. 2 LCR en ce qui concerne l'arrêt, prévoit notamment à son alinéa 2 que l'arrêt volontaire est interdit aux intersections, ainsi qu'avant et après les intersections à moins de 5 m de la chaussée transversale (let. d). Les dispositions précitées interdisant l'arrêt et le parcage sont fondées sur le fait qu'un véhicule arrêté sur la chaussée peut constituer, selon les circonstances, un obstacle important au trafic et même créer un sérieux danger pouvant causer des accidents, malgré l'attention qu'on peut exiger des autres usagers. Il n'y a donc pas lieu d'examiner si l'arrêt antiréglementaire d'un véhicule a aussi gêné ou mis concrètement en danger le trafic, l'art. 18 al. 2 let. d OCR sanctionnant déjà toute mise en danger ou gêne abstraite du trafic (ATF 100 IV 190 = JdT 1975 I 440 n° 68, p. 440). L'arrêt volontaire sur la voie publique au sens des art. 37 al. 2 LCR et 18 OCR ne vise ni l’immobilisation due à la circulation ou à la signalisation routière ni l'arrêt de nécessité, soit l'interruption immédiate de la conduite rendue nécessaire pour des questions de sécurité (R. SCHAFFHAUSER, Grundriss des schweizerischen Strassenverkehrsrecht, Stämpfli Verlag AG, Berne, 2002, n° 795 et 796 pp. 360 et 361).</w:t>
      </w:r>
    </w:p>
    <w:p>
      <w:r>
        <w:rPr>
          <w:b/>
        </w:rPr>
        <w:t>E. 3.3</w:t>
      </w:r>
    </w:p>
    <w:p>
      <w:r>
        <w:t>Enfin, pour qu'il y ait homicide par négligence, il faut encore un rapport de causalité entre la violation fautive des devoirs de prudence et le décès.</w:t>
      </w:r>
    </w:p>
    <w:p>
      <w:r>
        <w:rPr>
          <w:b/>
        </w:rPr>
        <w:t>E. 3.3.1</w:t>
      </w:r>
    </w:p>
    <w:p>
      <w:r>
        <w:t>Un comportement est la cause naturelle d'un résultat s'il en constitue l'une des conditions sine qua non, c'est-à-dire si, sans lui, le résultat ne s'était pas produit ; il s'agit là d'une question de fait (ATF 133 IV 158 consid. 6.1 p. 167 ; 125 IV 195</w:t>
      </w:r>
    </w:p>
    <w:p>
      <w:r>
        <w:t>- 13/25 - P/18067/2011 consid. 2b p. 197). Il faut donc raisonner par hypothèse et se demander, en supposant que l'acte n'ait pas eu lieu, si le résultat ne se serait pas produit tel qu'il s'est produit d'un point de vue strictement factuel. Il faut une haute vraisemblance. Il n'est pas nécessaire qu'il s'agisse de la cause unique ou immédiate du résultat. Il n'est pas non plus nécessaire que le comportement de l'auteur ait une signification causale particulière. Plusieurs causes peuvent concourir à produire le résultat et il peut y avoir un enchaînement d'évènements; il importe peu que l'acte reproché à l'auteur soit très antérieur, d'un point de vue chronologique, à la survenance du résultat. Sous l'angle de la causalité naturelle, il faut seulement déterminer si l'acte reproché à l'auteur est l'une des conditions sans lesquelles le résultat ne se serait pas produit. Si le résultat découle entièrement d'autres causes, il n'y a pas de relation de causalité naturelle, même si l'acte de l'auteur aurait aussi entraîné le même résultat s'il n'y avait pas eu les autres causes. Si le résultat découle notamment de l'acte de l'auteur, il y a relation de causalité naturelle, même si d'autres facteurs (qui n'ont pas joué de rôle) auraient de toute manière provoqué le même résultat s'il n'y avait pas eu l'acte de l'auteur (B. CORBOZ, Les infractions en droit suisse, vol. I, 3e éd., Berne, 2010, Berne, 2010, n. 35 à 38 ad art 117 CP et les références citées).</w:t>
      </w:r>
    </w:p>
    <w:p>
      <w:r>
        <w:rPr>
          <w:b/>
        </w:rPr>
        <w:t>E. 3.3.2</w:t>
      </w:r>
    </w:p>
    <w:p>
      <w:r>
        <w:t>Il faut en outre que le rapport de causalité puisse être qualifié d'adéquat, c'est-à- dire que, d'après le cours ordinaire des choses et l'expérience de la vie, le comportement de l'auteur ait été propre à entraîner un résultat du genre de celui qui s'est produit (ATF 133 IV 158 consid. 6.1 p. 168 ; 131 IV 145 consid. 5.1 p. 147). La causalité adéquate ne peut suppléer l'absence de causalité naturelle. Il s'agit d'une exigence supplémentaire. La théorie de la causalité adéquate a été conçue pour restreindre les conséquences que l'on pourrait tirer de la causalité naturelle : on ne doit pas imputer le résultat à l'auteur si son rôle causal apparaît trop lointain ou relégué à l'arrière-plan (B. CORBOZ, op. cit., n. 42 et 43 ad art. 117 CP).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l'arrière-plan</w:t>
      </w:r>
    </w:p>
    <w:p>
      <w:r>
        <w:t>- 14/25 - P/18067/2011 tous les autres facteurs qui ont contribué à l'amener, et notamment le comportement de l'auteur (ATF 131 IV 145 consid. 5.2 p. 148 et les références citées). En matière de circulation routière, le Tribunal fédéral a notamment considéré que lorsqu'un conducteur immobilisait sa voiture au milieu d'une voie de circulation, l'obstruant complètement, de sorte que les véhicules circulant normalement en sens inverse étaient obligés de passer sur une voie qui ne leur était pas destinée, il créait un obstacle inattendu et une situation dangereuse de nature à surprendre les conducteurs venant en sens inverse et à causer un accident du genre de celui qui s'était produit. Dans un tel contexte, il n'était pas extraordinaire et imprévisible qu'un usager de la route, à la suite d'une inattention, d'un excès de vitesse ou d'une réaction inadéquate, ne parvînt pas à éviter l'obstacle. L'existence d'un rapport de causalité adéquate avait donc été confirmé (arrêt du Tribunal fédéral 6S.411/2006 du 8 février 2007 consid. 2.2.2). Dans un arrêt plus ancien, le Tribunal fédéral a considéré que le fait de freiner tardivement devant un obstacle difficilement visible, soit un camion démuni de signes latéraux, et alors que l'attention pouvait être distraite par d'autres éléments, tel qu'un gyrophare clignotant sur la voie inverse, ne constituait pas un comportement extraordinaire et imprévisible qui reléguerait à l'arrière-plan la faute du recourant de sorte que le rapport de causalité adéquate était donné (arrêt du Tribunal fédéral 6S.341/2005 du 27 octobre 2005 consid,. 1.3.2). 3.4.1 En l'espèce, la première condition requise par l'art. 117 CP, à savoir le décès d'une personne, est réalisée. Il convient donc d'examiner si l'intimé a violé fautivement les devoirs de prudence qui lui incombaient, puis, cas échéant, de déterminer s'il existe un lien de causalité naturelle et adéquate entre cette violation et le décès de la victime. 3.4.2 Il est établi, et au demeurant non contesté, que l'intimé, qui circulait sur la route R______ en direction de P______, a bifurqué à droite dans le chemin S______ et qu'il s'est arrêté à l'intersection, l'arrière de la camionnette empiétant sur la route R______, en raison, selon ses dires, d'un fourgon qui se trouvait à une distance comprise entre 150 et 170 mètres et qui lui faisait des appels de phares. Dès lors que l'accident s'est produit alors que l'intimé était déjà immobilisé, l'art. 37 al. 1 LCR et ses dispositions d'exécution, qui portent sur les précautions à prendre avant le ralentissement ou l'arrêt, ne sont pas applicables. Par ailleurs, l'intimé a effectué la manœuvre de bifurcation sans gêner les véhicules qui le suivaient de sorte qu'il aurait, en tout état, respecté les prescriptions des dispositions précitées. En revanche, il faut admettre une violation de l'art. 18 al. 2 let. d OCR. L'intimé a en effet arrêté son véhicule à une intersection ou, à tout le moins à moins de 5 m de la chaussée transversale, ce qui constitue une mise en danger ou gêne abstraite du trafic interdite, sauf s'il s'agit d'un arrêt de nécessité. Le fourgon blanc mentionné par</w:t>
      </w:r>
    </w:p>
    <w:p>
      <w:r>
        <w:t>- 15/25 - P/18067/2011 l’intimé n’a pas été retrouvé. Cela étant, quand bien même ce véhicule aurait été retrouvé et sa présence établie avec certitude, on ne pourrait pas retenir l'état de nécessité dû à la circulation. En effet, même si l'on peut comprendre que la première réaction de l’intimé ait été d'immobiliser son véhicule en raison des appels de phare du fourgon blanc, celui-ci se trouvait à une distance minimum de 150 mètres de l'intersection, de sorte qu'il ne pouvait être qualifié d'obstacle apparaissant brusquement nécessitant un arrêt sans précaution. L'intimé disposait de la distance suffisante pour s'arrêter sans gêner la circulation sur la route R______ ; il a d'ailleurs lui-même admis que s'il avait remarqué que l'arrière de son véhicule dépassait sur la chaussée, il aurait avancé. Enfin, sur la gauche du chemin S______, se trouvait une parcelle suffisamment grande pour permettre le croisement entre la camionnette conduite par l'intimé et le fourgon blanc et cela quand bien même la route était enneigée. Compte tenu de ce qui précède, les arrêts cités par l'intimé (ATF 97 II 161 = JdT 1972 I 27 p. 38 et ATF 102 II 281 consid. 3b) ne sont d'aucune pertinence. En effet, contrairement à l'intimé, les camions impliqués dans les deux cas soumis au Tribunal fédéral avaient respecté les exigences de l'art. 18 OCR de sorte que le caractère dangereux de la situation avait été examiné en application de la clause générale de l'art. 37 al. 2 LCR. Au vu de ces considérations et contrairement à ce qu'a retenu le premier juge, la Cour considère que l'intimé a commis une violation de ses devoirs de prudence, en arrêtant ou stationnant son véhicule dans une intersection ou à tout le moins à moins de 5 mètres d'une intersection. 3.4.3 Cette violation doit être qualifiée de fautive. On pouvait en effet attendre de l’intimé, chauffeur professionnel, conduisant un véhicule d'une longueur et d'une largeur particulières, qu'il veillât à ce que celui-ci n'empiétât pas sur la chaussée au moment de l'arrêt. Il a d'ailleurs admis sa négligence coupable en précisant que s'il avait remarqué l'empiètement, il aurait avancé. 3.4.4 La causalité naturelle est à l’évidence donnée, dès lors que sans la violation fautive, par l’intimé, de ses devoirs de prudence, il n’y aurait pas eu d’accident et partant, pas de décès. Il en va de même de la causalité adéquate. Il est en effet conforme à l'expérience générale de la vie que le fait de laisser l’arrière d’une camionnette volumineuse empiéter sur une route constitue un obstacle. Il est également conforme au cours ordinaire des choses et à l’expérience générale de la vie qu’un obstacle sur une route, où le dépassement à une vitesse de 80 km/h est autorisé, puisse entraîner un accident et, partant, des lésions corporelles graves, voire la mort d'une personne.</w:t>
      </w:r>
    </w:p>
    <w:p>
      <w:r>
        <w:t>- 16/25 - P/18067/2011 Même s'il faut admettre une inattention de D______, qui, à dire d'experts, aurait pu éviter la collision si son dépassement avait débuté à 300 mètres du point de choc et aurait pu en réduire les conséquences s'il avait débuté 250 mètres avant celui-ci, cette circonstance n'est pas suffisamment exceptionnelle pour entraîner une interruption de la causalité adéquate. Conformément à la jurisprudence citée sous consid. 3.3.2 supra, il n'est en effet pas si extraordinaire ou imprévisible qu'un automobiliste, qui effectue un dépassement autorisé et dont l’attention est ainsi focalisée sur cette manœuvre, ne s’aperçoive de l’existence d’un obstacle sur sa voie que tardivement et ne puisse l’éviter. 3.4.5 Au vu des considérations qui précèdent, il doit être retenu que l'intimé s'est rendu coupable d'un homicide par négligence au sens de l'art. 117 CP, en s'arrêtant volontairement et fautivement à une intersection, entraînant de la sorte une collision avec le véhicule conduit par D______, lequel est décédé des suites de ses blessures. Le jugement de première instance doit donc être annulé et réformé.</w:t>
      </w:r>
    </w:p>
    <w:p>
      <w:r>
        <w:rPr>
          <w:b/>
        </w:rPr>
        <w:t>E. 4</w:t>
      </w:r>
    </w:p>
    <w:p>
      <w:r>
        <w:t>4.1.1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w:t>
      </w:r>
    </w:p>
    <w:p>
      <w:r>
        <w:t>- 17/25 - P/18067/2011 peut s'écarter qu'en présence d'un pronostic défavorable. Il prime en cas d'incertitude (ATF 134 IV 1 consid. 4.2.2 p. 5-6 ; SJ 2008 I p. 277 consid. 2.1. p. 280).</w:t>
      </w:r>
    </w:p>
    <w:p>
      <w:r>
        <w:rPr>
          <w:b/>
        </w:rPr>
        <w:t>E. 4.2</w:t>
      </w:r>
    </w:p>
    <w:p>
      <w:r>
        <w:t>L'infraction d'homicide par négligence (art. 117 CP) est passible d'une peine privative de liberté de trois ans au plus ou d'une peine pécuniaire. 4.3.1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4.3.2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t>- 18/25 - P/18067/2011 4.3.3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 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w:t>
      </w:r>
    </w:p>
    <w:p>
      <w:r>
        <w:t>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 Le montant du jour-amende ne peut être inférieur à CHF 10.- (ATF 135 IV 180 consid. 1.4.2 p. 185).</w:t>
      </w:r>
    </w:p>
    <w:p>
      <w:r>
        <w:t>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 La situation financière concrète est toujours déterminante (arrêt du Tribunal fédéral 6B_541/2007 du 13 mai 2008 consid. 6.4.5). 4.4.1 En l'espèce, la faute de l'intimé ne peut être qualifiée de grave, même si elle a eu des conséquences dramatiques. Absorbé par la recherche du lieu de livraison et son attention détournée par les appels de phares, il a omis de s'assurer, en s'arrêtant, que l'arrière de son véhicule n'empiétait plus sur la route principale qu'il venait de quitter. Sa collaboration à la procédure a été bonne. Il a admis qu'il se serait avancé s'il s'était rendu compte de la situation et s'est enquis de l'état de la victime, immédiatement après les faits et le lendemain. Son casier judiciaire est vierge, étant rappelé que l'absence d'antécédent constitue un facteur neutre dans la fixation de la peine et n'a donc pas à être pris en considération dans un sens atténuant (ATF 136 IV 1 consid. 2.6.4 p. 3).</w:t>
      </w:r>
    </w:p>
    <w:p>
      <w:r>
        <w:t>- 19/25 - P/18067/2011 Tenant compte de ce qui précède, une peine pécuniaire de 180 jours-amende sera prononcée.</w:t>
      </w:r>
    </w:p>
    <w:p>
      <w:r>
        <w:t>4.4.2 La Cour ne dispose que de peu d'éléments concernant la situation financière de l'intimé, si ce n'est le montant brut de son revenu (CHF 5'500.-), et le fait qu'il est propriétaire de la maison qu'il occupe. Si l'on tient compte des déductions habituelles (AVS/AI/APG, assurance-chômage, etc, y compris la sécurité sociale française), de l'impôt à la source sans doute prélevé, son revenu mensuel net doit être estimé à CHF 4'200.-. Pour tenir compte de cette situation financière moyenne pour un résident français, le jour amende sera fixé à CHF 50.-. Par ailleurs, dans la mesure où aucun élément du dossier ne permet de conclure à un pronostic défavorable, il y a lieu d'assortir la peine du sursis total, délai d'épreuve de trois ans.</w:t>
      </w:r>
    </w:p>
    <w:p>
      <w:r>
        <w:rPr>
          <w:b/>
        </w:rPr>
        <w:t>E. 5</w:t>
      </w:r>
    </w:p>
    <w:p>
      <w:r>
        <w:t>Selon l'art. 62 al. 1 LCR, le mode et l'étendue de la réparation ainsi que l'octroi d'une indemnité à titre de réparation morale sont régis par les principes du code des obligations (loi fédérale du 30 mars 1911, complétant le Code civil suisse [CO, Code des obligations ; RS 220] concernant les actes illicites. En vertu de l'art. 47 CO, le juge peut, en cas de mort d'homme et en tenant compte de circonstances particulières, allouer à la famille une indemnité équitable à titre de réparation morale. Aux termes de l'art. 44 CO, applicable par analogie en matière de tort moral, le juge peut réduire les dommages-intérêts, ou même n'en point allouer, lorsque la partie lésée a consenti à la lésion ou lorsque des faits dont elle est responsable ont contribué à créer le dommage, à l'augmenter, ou qu'ils ont aggravé la situation du débiteur. 5.1.1 La détermination de la somme allouée à titre de réparation du tort moral relève du pouvoir d'appréciation du juge. Cette fixation échappe à tout critère rigoureux, tant il est vrai que la douleur se laisse difficilement appréhender, ou réduire, à une somme d'argent (ATF 125 III 269 consid. 2a ; BREHM, Berner Kommentar, 2013, ch. 9 ss ad art. 47 CO, p. 507 et ss). L'indemnité pour tort moral se calcule selon la méthode en deux phases (ATF 132 II 120 consid. 2.2.3; arrêt du Tribunal fédéral 4C.55/2006 du 12 mai 2006 consid. 5.2, arrêt du Tribunal fédéral 1A.235/2000 du 21 février 2001 consid. 5b/aa et arrêt du Tribunal fédéral 1A.203/2000 du 13 octobre 2000 consid. 2b), laquelle consiste à déterminer d'abord une indemnité de base en réparation du tort moral, puis à adapter celle-ci en fonction des circonstances du cas d'espèce, notamment de la faute concomitante de la victime résultant de l’art. 44 al. 1 CO.</w:t>
      </w:r>
    </w:p>
    <w:p>
      <w:r>
        <w:t>- 20/25 - P/18067/2011 5.1.2 Le juge doit se fonder sur l'intensité et la qualité des relations entre le défunt et le lésé (arrêt 1C_286/2008 du 1er avril 2009, consid. 5.1 ; WERRO, La responsabilité civile, Berne 2011, nos 159 et 1370 ss). Le degré de parenté n'est donc pas seul déterminant et le fait que le défunt et le lésé vivaient sous le même toit constitue un indice important de l'intensité des liens (arrêt du Tribunal fédéral 1C_286/2008 ; arrêt du Tribunal fédéral 1C_106/2008 consid. 3.2.2). Un tarif n'est guère concevable (ATF 127 IV 215; arrêts du Tribunal fédéral 6S.232/2003 du 17 mai 2004 consid. 2.1 et 1A.135/2002 du 29 octobre 2002 consid. 2.4); cela étant, la jurisprudence a admis qu'une certaine gradation pouvait exister (BREHM, op.cit., ch. 10 ad art. 47 CO, p. 506 ; K. HÜTTE/A. GROSS, Le tort moral, tableaux de jurisprudence comprenant les décisions judiciaires rendues de 1984 à 1996, 3ème éd., Genève-Zurich-Bâle, actualisé en août 2005, p. 26a), dans laquelle la perte d'un conjoint était probablement la plus douloureuse (SJ 1994 I 589 p. 597), suivie de celle d'un enfant (auquel cas il est encore distingué s'il s'agit d'un enfant unique ou non) et de celle des père et mère (SJ 1994 I p. 589 consid. 10a ; cf. également, BREHM, op.cit., ch. 65 ad art. 47 CO ; WERRO, in Commentaire romand, 2012, ch. 20 ad art. 47 CO, p. 462). Cela étant, il y a lieu de tenir compte de l'ensemble des circonstances du cas particulier (ATF 127 IV 215; ATF 95 II 411 consid. 4; ATF 90 II 184; arrêt du Tribunal fédéral 4C.116/2004 du 7 septembre 2004 consid. 5.1), lesquelles ont la préséance sur toute forme d'échelle. Bien que tel ou tel cas soit difficilement comparable à un autre (ATF 123 III 306 ; arrêts du Tribunal fédéral 4C.116/2004 du 7 septembre 2004 consid. 5.1 et 4C.343/2003 du 13 octobre 2004 consid. 8.1), il demeure possible d'invoquer des précédents (ATF 112 II 131 ; BREHM, op.cit, ch. 63 ad art. 47 CO, p. 533). Il s'impose alors au lésé qui réclame l'octroi d'une somme particulièrement élevée (ou au responsable qui entend allouer une somme particulièrement basse) de prouver les circonstances qui le fondent à procéder ainsi (ATF 127 IV 215). Selon la jurisprudence et la doctrine, le tort moral de base en cas d'accidents après 2001 se situe entre CHF 30'000 et CHF 40'000.- pour la perte du conjoint et entre CHF 20'000 et 30'000.- pour la perte d'un parent (WERRO, op. cit., n° 1373 p. 387). Il s'agit ensuite de tenir compte des facteurs particuliers du cas d'espèce, selon la méthode en deux phases déjà exposée ci-avant. 5.1.3 La possibilité de réduire une indemnité pour tenir compte d'une faute concomitante, résultant de l'art. 44 al. 1 CO, existe également dans le cas d'une indemnité pour tort moral (ATF 131 III 12 consid. 8 p. 21; 128 II 49 consid. 4.2 p. 54). Il y a faute concomitante lorsque le lésé omet de prendre des mesures que l'on pouvait attendre de lui et qui étaient propres à éviter la survenance ou l'aggravation du dommage; autrement dit, si le lésé n'a pas pris les mesures qu'une personne</w:t>
      </w:r>
    </w:p>
    <w:p>
      <w:r>
        <w:t>- 21/25 - P/18067/2011 raisonnable, placée dans les mêmes circonstances, aurait pu et dû prendre dans son propre intérêt (ATF 107 Ib 155 consid. 2b p. 158; VON TUHR/PETER, Allgemeiner Teil des Schweizerischen Obligationenrechts I, 1984, § 14 p. 108). Pour qu'il y ait lieu à réduction, il est nécessaire que la faute concomitante du lésé ait contribué à la survenance du dommage, c'est-à-dire qu'elle s'insère dans la série causale aboutissant au préjudice (DESCHENAUX/TERCIER, La responsabilité civile, 2ème éd. 1982, §</w:t>
      </w:r>
    </w:p>
    <w:p>
      <w:r>
        <w:rPr>
          <w:b/>
        </w:rPr>
        <w:t>E. 7</w:t>
      </w:r>
    </w:p>
    <w:p>
      <w:r>
        <w:t>Vu l’issue de la procédure, les prétentions en indemnisation formulées par l’intimé seront rejetées.</w:t>
      </w:r>
    </w:p>
    <w:p>
      <w:r>
        <w:rPr>
          <w:b/>
        </w:rPr>
        <w:t>E. 8</w:t>
      </w:r>
    </w:p>
    <w:p>
      <w:r>
        <w:t>L'intimé, qui succombe, supportera les frais de la procédure de première instance, arrêtés à CHF 21'980.75 selon l'état de frais annexé au jugement querellé, ainsi que les frais de la procédure d'appel, lesquels comprennent un émolument de CHF 3'000.- (art. 426 et 428 CPP, voir également N. SCHMID, Schweizerische Strafprozessordnung : Praxiskommentar, 2e éd., Zurich 2013, n° 13 ad art. 428, p. 842). * * * * *</w:t>
      </w:r>
    </w:p>
    <w:p>
      <w:r>
        <w:t>- 23/25 - P/18067/2011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