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AARP/371/2025 vom 9. Oktober 2025</w:t>
      </w:r>
    </w:p>
    <w:p>
      <w:r>
        <w:t>GE Cour de justice, 2025-10-09, FR</w:t>
      </w:r>
    </w:p>
    <w:p>
      <w:r>
        <w:rPr>
          <w:b/>
        </w:rPr>
        <w:t xml:space="preserve">Quelle: </w:t>
      </w:r>
      <w:r>
        <w:t>https://mcp.opencaselaw.ch/entscheid/ge_gerichte_AARP_371_2025</w:t>
      </w:r>
    </w:p>
    <w:p>
      <w:r>
        <w:t>FR: GE_GERICHTE AARP/371/2025 du 9 octobre 2025</w:t>
      </w:r>
    </w:p>
    <w:p>
      <w:r>
        <w:t>IT: GE_GERICHTE AARP/371/2025 del 9 ottobre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w:t>
      </w:r>
    </w:p>
    <w:p>
      <w:r>
        <w:t>- 13/23 - P/24092/2019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JdT 2012 IV 79 ; arrêt du Tribunal fédéral 6B_1306/2017 du 17 mai 2018 consid. 2.1.1 ; M. NIGGLI / M. HEER / H. WIPRÄCHTIGER [éds], Strafprozessordnung / Jugendstrafprozessordnung, Basler Kommentar StPO/JStPO, 2ème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Le juge doit en particulier se forger une conviction aussi bien sur les premières déclarations du prévenu ou d'un témoin, que sur les nouvelles, valant rétractation, et apprécier les circonstances dans lesquelles l'intéressé a modifié ses dires initiaux (arrêts du Tribunal fédéral 6B_157/2011 du 20 septembre 2011 consid. 1.2 ; 6B_626/2008 du 11 novembre 2008 consid. 2.1).</w:t>
      </w:r>
    </w:p>
    <w:p>
      <w:r>
        <w:rPr>
          <w:b/>
        </w:rPr>
        <w:t>E. 2.2</w:t>
      </w:r>
    </w:p>
    <w:p>
      <w:r>
        <w:t>Au sens de l'art. 123 ch. 1 CP, est puni quiconque, intentionnellement, fait subir à une personne une atteinte à l'intégrité corporelle ou à la santé. L'auteur est poursuivi d'office s'il est le conjoint de la victime et que l'atteinte est commise durant le mariage (ch. 2 al. 3).</w:t>
      </w:r>
    </w:p>
    <w:p>
      <w:r>
        <w:t>- 14/23 - P/24092/2019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Les voies de fait, réprimées par l'art. 126 al. 1 CP, se définissent comme des atteintes physiques qui excèdent ce qui est socialement toléré et qui ne causent ni lésions corporelles, ni dommage à la santé (ATF 134 IV 189 consid. 1.2 et 1.3 ; arrêts du Tribunal fédéral 6B_693/2017 du 24 août 2017 consid. 2.1 ; 6B_1009/2014 du 2 avril 2015 consid. 4.2).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(ATF 134 IV 189 consid. 1.3 ; 119 IV 25 consid. 2a), une gifle, un coup de poing ou de pied, de fortes bourrades avec les mains ou les coudes (arrêts du Tribunal fédéral 6B_693/2017 du 24 août 2017 consid. 2.1 ; 6B_1009/2014 du 2 avril 2015 consid. 4.2).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 2c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 119 IV 25 consid. 2a).</w:t>
      </w:r>
    </w:p>
    <w:p>
      <w:r>
        <w:t>- 15/23 - P/24092/2019 Les lésions corporelles simples comme les voies de fait sont des infractions intentionnelles. L'auteur doit avoir agi avec conscience et volonté, le dol éventuel étant suffisant (art. 12 al. 2 CP) (ATF 131 IV 1 consid. 2.2 ; 105 IV 172 consid. 4b).</w:t>
      </w:r>
    </w:p>
    <w:p>
      <w:r>
        <w:rPr>
          <w:b/>
        </w:rPr>
        <w:t>E. 2.3</w:t>
      </w:r>
    </w:p>
    <w:p>
      <w:r>
        <w:t>L'art. 180 al. 1 CP punit, sur plainte, celui qui aura alarmé ou effrayé une personne par une menace grave. Si l'auteur est le conjoint de la victime et que la menace a été commise durant le mariage ou dans l'année qui a suivi le divorce, la poursuite a lieu d'office (al. 2 let. a).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La réalisation d'un dommage doit cependant être présentée par l'auteur comme un événement dépendant, directement ou indirectement, de sa volonté (arrêt du Tribunal fédéral 6B_1428/2016 du 3 octobre 2017 consid. 2.1).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en va ainsi des menaces de lésions corporelles graves ou de mort, qui doivent être considérées comme graves (arrêt du Tribunal fédéral 6B_787/2018 du 1er octobre 2018 consid. 3.1). En revanche, une susceptibilité exacerbée ou une pusillanimité excessive ne doivent pas être protégées, de sorte que la punissabilité est exclue lorsque le préjudice évoqué apparaît objectivement d'une importance trop limitée pour justifier la répression pénale (A. MACALUSO / L. MOREILLON / N. QUELOZ [éds], Commentaire romand, Code pénal II, art. 111-392 CP, Bâle 2025, n. 5 ad art. 180). Le contexte dans lequel des propos sont émis est un élément permettant d'en apprécier le caractère menaçant ou non (cf. arrêts du Tribunal fédéral 6B_593/2016 du 27 avril 2017 consid. 3.1.3 ; 6B_307/2013 du 13 juin 2013 consid. 5.2).</w:t>
      </w:r>
    </w:p>
    <w:p>
      <w:r>
        <w:t>Subjectivement, l'auteur doit avoir l'intention non seulement de proférer des menaces graves, mais aussi d'alarmer ou d'effrayer le destinataire. Le dol éventuel suffit (arrêt du Tribunal fédéral 6B_135/2021 du 27 septembre 2021 consid. 3.1). 2.4.1. En l'espèce, les faits survenus dans le domicile conjugal relèvent du huis clos. Les versions des parties sont contradictoires en tous points. Le TP a considéré que</w:t>
      </w:r>
    </w:p>
    <w:p>
      <w:r>
        <w:t>- 16/23 - P/24092/2019 C______ avait été constant dans ses dénégations et qu'il avait donné des explications détaillées et similaires sur l'essentiel, contrairement à A______ qui avait varié sur des éléments importants et augmenté la gravité des faits dénoncés au fur et à mesure de ses déclarations et de l'avancée des différentes procédures administrative, civile et pénale menées en parallèle.</w:t>
      </w:r>
    </w:p>
    <w:p>
      <w:r>
        <w:t>2.4.2. S'agissant des faits survenus le 3 décembre 2019, il convient de relever ce qui suit.</w:t>
      </w:r>
    </w:p>
    <w:p>
      <w:r>
        <w:t>Comme mentionné par le premier juge, C______ est resté constant dans ses dénégations tout au long de la procédure. Ses déclarations n'ont varié que sur un point mineur lorsqu'il a déclaré devant la police qu'il dormait au salon et n'avait pas pu réveiller A______, avant d'affirmer devant la Cour qu'il écoutait de la musique à ce moment-là. À l'inverse, un manque de cohérence et de multiples incertitudes entachent la version des faits décrits par l'appelante, outre que son récit n'est étayé par aucun constat de la police, ni témoignage probant, voire par d'autres preuves matérielles (cf. film, photos, etc.). Il en va ainsi lorsqu'elle a fait part de sa volonté de retourner au domicile conjugal (cf. déclarations du 9 décembre 2019 devant le TAPI) à la suite des faits de la présente cause. Elle savait pourtant que son retour reviendrait à cohabiter avec l'intimé. Quand bien même elle compromettrait sa sécurité au vu de ce qu'elle avait dénoncé, elle indiquait vouloir quitter le foyer dont elle bénéficiait en sa qualité de victime, car il ne lui apportait pas le confort qu'elle attendait. En appel, A______ a encore ajouté d'autres éléments de faits parfois incohérents avec ses précédentes déclarations, sinon contradictoires ou évolutifs :  C______ lui avait obstrué le nez, ce qu'elle n'a pas mentionné auparavant ou ce qu'elle a rétracté s'agissant de l'emploi d'un tissu. Elle devait "se recoucher" pour reprendre de l'air. Ces allégués ne figurent en outre pas dans l'ordonnance pénale ;  elle a aussi déclaré avoir passé un appel téléphonique à son frère (en Tunisie) avant de s'endormir vers 02h00 ou 03h00, car elle était inquiète – ne sachant pas ce que C______ voulait faire – et elle voulait lui en parler ; or, cet appel n'a pas été mentionné auparavant ;  devant le TP, elle avait indiqué que les voisins étaient absents et que C______ en avait profité ; pourtant, devant la Cour, elle a déclaré qu'il lui avait dit qu'elle n'avait qu'à crier plus fort et réveiller les voisins. S'ajoutent d'autres éléments troublants :</w:t>
      </w:r>
    </w:p>
    <w:p>
      <w:r>
        <w:t>- 17/23 - P/24092/2019  dans la nuit du 2 au 3 décembre 2019, c'est bien C______ qui a appelé la police à deux reprises, soit à 04h05 et à 04h10, alors que l'appelante n'a appelé les urgences qu'à 04h17, sept minutes plus tard ;  alors qu'elle évoquait, lors de cet appel au 144, que C______ l'aurait bâillonnée au moyen d'un tissu sur la bouche, elle n'en a plus fait part par la suite, évoquant une main sur sa bouche ; devant la Cour, elle a expliqué cette divergence par son état de choc ;  à la police, elle s'est plainte d'une douleur à la mâchoire alors que le Dr. F______ n'a relevé aucune "trace significative d'agression physique" et a conclu à un examen clinique "normal", outre le fait qu'il a administré à la patiente 1 mg de Temesta (pour atténuer son anxiété), et non pas un antalgique destiné à diminuer la douleur alléguée ;  selon le rapport de police du 3 décembre 2019, il n'était pas possible de déterminer qui était réellement l'auteur ou la victime des faits rapportés ; devant le TAPI, le représentant du commissaire a expliqué que la police avait ressenti un "état de tension très fort" au sein du couple, de part et d'autre, et que la responsabilité de A______ semblait "plus importante" ;  le sort du domicile conjugal paraît être un facteur ayant pu être de nature à avoir influencé les déclarations de l'appelante, une première plainte ayant été déposée le</w:t>
      </w:r>
    </w:p>
    <w:p>
      <w:r>
        <w:rPr>
          <w:b/>
        </w:rPr>
        <w:t>E. 7</w:t>
      </w:r>
    </w:p>
    <w:p>
      <w:r>
        <w:t>novembre 2019, peu après le jugement du 17 octobre 2019 octroyant la jouissance exclusive du domicile conjugal à C______, alors que A______ en avait demandé son attribution dans sa requête de MPUC du 8 juillet 2019, réitérant cette conclusion dans son appel civil ; elle souhaitait, malgré et en dépit de la situation dénoncée, retourner vivre au domicile conjugal, alors même que cela signifierait qu'elle devrait cohabiter avec celui qu'elle décrivait comme un tortionnaire ; l'hypothèse d'une instrumentalisation de la procédure pénale ne peut être exclue dans de telles circonstances. Enfin, les attestations d'association de prise en charge de victimes produites par l'appelante n'ont pas de valeur probante caractérisée en ce qu'elles consignent sa parole et d'autres éléments non établis par la procédure. Force est de constater que les ajouts dans le récit de l'appelante au fil des différentes procédures pénale, civile et administrative, ainsi que les circonstances susvisées, portent atteinte à sa crédibilité globale, de sorte qu'il n'est pas possible de se fonder sur ses déclarations pour retenir comme établi que son époux lui a causé des atteintes à son intégrité physique telles que constatées dans le certificat médical du 4 décembre 2019, sans porter atteinte à la présomption d'innocence.</w:t>
      </w:r>
    </w:p>
    <w:p>
      <w:r>
        <w:t>- 18/23 - P/24092/2019 À titre subsidiaire, même à suivre ses allégations, il conviendrait de considérer, à l'instar du TP, que la légère asymétrie de la face avec tuméfaction de la branche droite de la mâchoire s'apparenterait à des voies de fait – infraction prescrite à l'époque du premier jugement –, alors que, d'une part, les photographies nouvellement produites en couleur (annexées au constat médical) ne permettent pas de conclure différemment, d'autre part, l'absence de trouble, même passager, causé chez l'appelante conforterait cette qualification. Même s'il ne peut être exclu que l'épisode du "nez obstrué" puisse être le fruit d'une altération des souvenirs de l'appelante ou que celui-ci fasse suite au constat du premier juge, selon lequel elle n'avait précisé ni la durée, ni l'intensité de la privation de respirer, rien ne le prouve, au vu de la variation dans ses déclarations. L'appelante n'a pas non plus allégué avoir éprouvé de difficulté à la déglutition, mais a seulement évoqué une douleur à la mastication, qui serait constitutive de voie de faits. Les violences psychiques dont elle a fait part n'ont pas à être discutées, étant donné qu'elles ne figurent pas dans l'ordonnance pénale. En outre, si tant est qu'il eût fallu les envisager, elles n'auraient pas présenté un caractère de gravité tel qu'elles puissent être constitutives de lésions corporelles simples. Au demeurant, son médecin, le Dr. I______, qui soignait les deux époux, a relaté qu'elle avait été en "grande souffrance psychologique" depuis la procédure de divorce en 2018, soit bien avant la période pénale concernée ; la causalité est bien incertaine, et non adéquate. En ce qui concerne les hématomes sur ses deux bras constatés le lendemain, l'appelante-même ne les lie pas à la nuit du 2 au 3 décembre 2019 et n'a pas su expliquer le contexte de leur apparition. Elle a uniquement déclaré devant le TP que son mari aimait bien lui enfoncer ses doigts dans les bras, ce dont elle n'avait jamais parlé auparavant. Interpellée aux débats d'appel, elle n'a fait référence qu'aux blessures sur le côté droit de sa bouche et les douleurs dans cette zone, sans évoquer lesdits hématomes. Par conséquent, l'acquittement de l'intimé pour les faits du 3 décembre 2019 sera confirmé et l'appel rejeté sur ce point. 2.4.3. S'agissant des menaces, il convient de souligner, à l'instar du premier juge, qu'aucun élément objectif au dossier ne permet d'étayer celles de mort et/ou d'expulsion reprochées à C______, alors que la police est intervenue au domicile conjugal à cinq reprises. Le témoignage indirect du Dr. I______ ne peut être considéré comme suffisant puisqu'il ne fait que rapporter les dires de l'appelante lors de sa consultation, d'autant plus que celle-ci lui a fait part de menaces proférées par l'intimé sans donner d'exemples concrets, le propos ne pouvant être assimilé ici à un vécu. Si l'appelante s'est plainte, le 7 novembre 2019, d'avoir été menacée de mort par l'intimé lorsque celui-ci était ivre, elle ne l'a pas évoqué devant le TAPI le 9 décembre</w:t>
      </w:r>
    </w:p>
    <w:p>
      <w:r>
        <w:t>- 19/23 - P/24092/2019 suivant. Dans sa plainte pénale du 16 décembre 2019, elle a indiqué avoir été menacée d'être expulsée et mise à la rue. Devant le MP, elle a déclaré que l'intimé lui disait souvent qu'elle allait finir "à la rue de Berne", alors qu'elle a réitéré devant le TP subir des menaces d'expulsion et des menaces générales "tout le temps, toute la journée", sans les illustrer. Outre ces variations dans son discours, il convient d'écarter les accusations de l'appelante pour les motifs qui suivent :  la menace d'expulsion ne constitue pas une menace au sens de l'art. 180 CP, puisque l'expulsion n'est pas un dommage dont la réalisation dépendrait directement ou indirectement de l'intimé ; même si ce dernier avait dit "être la loi" et faire "tout ce qui était dans son pouvoir pour qu'elle soit expulsée en Tunisie", l'appelante pouvait savoir qu'il n'était pas l'autorité compétente pour procéder à son expulsion du territoire suisse et qu'elle disposait en tout état de voies de droit pour faire valoir son statut dans le pays ;  l'on ne peut considérer le fait de se faire "mettre à la rue" comme une menace dans la mesure où l'appelante, qui n'était pas désemparée et sans ressources, a su réagir, appeler la police, user de ses droits, etc., ce qui ne traduit pas le comportement d'une victime gravement effrayée, d'autant qu'elle avait été mise au bénéfice d'une place en foyer ; en sus, à la suivre, le fait de "finir à la rue / à la rue de Berne" – s'il s'agit pour autant de propos tenus dans la bouche d'un mari que l'on peut moralement désapprouver – n'aurait en définitive dépendu de ce dernier ;  s'agissant d'avoir "menacé de tuer son épouse ou en lui disant de le tuer", le fait de dire à une personne "tue-moi", tel que le relève le TP, ne constitue pas une menace au sens de l'art. 180 CP ;  il en irait différemment de menacer de "tuer", ce qui serait constitutif d'une menace grave, objectivement de nature à alarmer ou effrayer une victime. Si A______ a déclaré devant la police, le 7 novembre 2019, avoir été menacée de mort par son époux au quotidien depuis son retour de Tunisie en janvier 2019, elle ne l'a pas évoqué précédemment devant le TPI en juillet 2019, ni ultérieurement devant le TAPI. Non compte tenu de ce qui précède, si l'appelante avait bel et bien été menacée de mort depuis janvier 2019, la Cour peine à comprendre que l'intéressée en aurait été gravement alarmée ou effrayée, vu le caractère récurrent de ces menaces et le fait que son mari était ivre lorsqu'il les proférait. Il doit être rappelé qu'il résulte de sa plainte du 16 décembre 2019 que l'appelante n'a été effrayée que par la possibilité d'être expulsée et/ou d'être mise à la rue. Ce n'est que devant le MP qu'elle a soutenu que son époux s'était montré plus violent en la menaçant de mort, depuis qu'elle avait déposé une main-courante en novembre 2019, mais non depuis janvier 2019. Quoiqu'il en soit, à considérer que l'appelante</w:t>
      </w:r>
    </w:p>
    <w:p>
      <w:r>
        <w:t>- 20/23 - P/24092/2019 a été menacée depuis novembre 2019, son comportement ne reflète pas, là non plus, celui d'une victime gravement alarmée ou effrayée, puisque, lors de sa comparution devant le TAPI en décembre 2019, elle a combattu son éloignement du domicile conjugal, cherchant à le réintégrer, alors qu'elle avait été mise à l'abri en foyer. Partant, les éléments constitutifs de l'infraction dénoncée ne sont pas remplis à satisfaction de droit et l'acquittement de C______ du chef de menaces (art. 180 CP) sera confirmé, l'appel étant rejeté sur ce point. 3. Au vu de ce qui précède, l'appelante sera déboutée de ses prétentions en réparation du tort moral. 4. L'entier des frais de la procédure préliminaire, de première instance et d'appel sera laissé à la charge de l'État, l'appelante étant au bénéfice de l'assistance judiciaire gratuite (art. 136 al. 2 let. b CPP). 5. 5.1. À teneur de l'art. 429 CPP, le prévenu a droit, s'il est acquitté totalement ou en partie, à une indemnité fixée conformément au tarif des avocats pour les dépenses occasionnées par l'exercice raisonnable de ses droits de procédure (al. 1 let. a). L'autorité pénale examine d'office les prétentions du prévenu ; elle peut enjoindre à celui-ci de les chiffrer et de les justifier (al. 2). Lorsque le prévenu a chargé un défenseur privé de sa défense, celui-ci a un droit exclusif à l'indemnité prévue à l'al. 1, let. a, sous réserve de règlement de compte avec son client (al. 3).</w:t>
      </w:r>
    </w:p>
    <w:p>
      <w:r>
        <w:t>L'État ne prend en charge les frais de défense que si l'assistance d'un avocat était nécessaire compte tenu de la complexité de l'affaire en fait ou en droit et que le volume de travail, et donc les honoraires, étaient ainsi justifiés (ATF 142 IV 163 consid. 3.1.2 ; 142 IV 45 consid. 2.1 ; arrêt du Tribunal fédéral 7B_284/2023 du 20 septembre 2023 consid. 2.1). Les démarches superflues, abusives ou excessives ne sont pas indemnisées (ATF 115 IV 156 consid. 2d). La décision sur les frais préjuge en principe de la question de l'indemnisation (ATF 144 IV 207 consid. 1.8.2 ; 137 IV 352 consid. 2.4.2). La Cour de justice applique au chef d'étude un tarif horaire maximal de CHF 400.- à CHF 450.- (arrêt du Tribunal fédéral 6B_1026/2013 du 10 juin 2014 consid. 4.5).</w:t>
      </w:r>
    </w:p>
    <w:p>
      <w:r>
        <w:t>5.2. En l'occurrence, il convient de faire droit à l'état de frais de Me D______, conseil de C______. La durée des débats d'appel sera ajoutée en sus.</w:t>
      </w:r>
    </w:p>
    <w:p>
      <w:r>
        <w:t>Sa rémunération sera arrêtée à CHF 5'909.45, correspondant à 13 heures et 40 minutes d'activité au tarif de CHF 400.-/heure et l'équivalent de la TVA au taux de 8.1% en CHF 442.80.</w:t>
      </w:r>
    </w:p>
    <w:p>
      <w:r>
        <w:t>- 21/23 - P/24092/2019 6. Considéré globalement, l'état de frais produit par Me B______, conseil juridique gratuit de A______, satisfait les exigences légales et jurisprudentielles régissant l'assistance judiciaire gratuite en matière pénale. Il convient de le compléter de la durée des débats d'appel et d'une vacation, allouée d'office par la Cour, pour l'audience y relative.</w:t>
      </w:r>
    </w:p>
    <w:p>
      <w:r>
        <w:t>Sa rémunération sera partant arrêtée à CHF 2'032.30, correspondant à deux heures et 30 minutes d'activité au tarif de CHF 200.-/heure et à six heures d'activité facturées à CHF 150.-/heure, plus la majoration forfaitaire de 20% (CHF 280.-), la vacation (CHF 200.-) et l'équivalent de la TVA au taux de 8.1% en CHF 152.30. * * * * *</w:t>
      </w:r>
    </w:p>
    <w:p>
      <w:r>
        <w:t>- 22/23 - P/24092/2019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