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AARP/371/2020 vom 26. Oktober 2020</w:t>
      </w:r>
    </w:p>
    <w:p>
      <w:r>
        <w:t>GE Cour de justice, 2020-10-26, FR</w:t>
      </w:r>
    </w:p>
    <w:p>
      <w:r>
        <w:rPr>
          <w:b/>
        </w:rPr>
        <w:t xml:space="preserve">Quelle: </w:t>
      </w:r>
      <w:r>
        <w:t>https://mcp.opencaselaw.ch/entscheid/ge_gerichte_AARP_371_2020</w:t>
      </w:r>
    </w:p>
    <w:p>
      <w:r>
        <w:t>FR: GE_GERICHTE AARP/371/2020 du 26 octobre 2020</w:t>
      </w:r>
    </w:p>
    <w:p>
      <w:r>
        <w:t>IT: GE_GERICHTE AARP/371/2020 del 26 ottobre 2020</w:t>
      </w:r>
    </w:p>
    <w:p>
      <w:pPr>
        <w:pStyle w:val="Heading2"/>
      </w:pPr>
      <w:r>
        <w:t>Erwägungen</w:t>
      </w:r>
    </w:p>
    <w:p>
      <w:r>
        <w:rPr>
          <w:b/>
        </w:rPr>
        <w:t>E. 1</w:t>
      </w:r>
    </w:p>
    <w:p>
      <w:r>
        <w:t>1.1.1. 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Une reformatio in pejus en défaveur du recourant qui a obtenu seul gain de cause dans l’arrêt de renvoi est exclue (ATF 143 IV 495 consid. 2.2.1 ; 135 III 334 consid. 2 p. 335; 131 III 91 consid. 5.2 p. 94 ; 110 IV 116 consid. 2 ; cf. arrêt du Tribunal fédéral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 p. 335). 1.1.2.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w:t>
      </w:r>
    </w:p>
    <w:p>
      <w:r>
        <w:t>- 15/28 - P/19289/2017 133 III 201 consid. 4.2 ; 131 III 91 consid. 5.2 et les références ; arrêts 9C_452/2018 du 25 janvier 2019 consid. 1.1 ; 5A_461/2018 du 26 octobre 2018 consid. 2.1 ; 5A_785/2015 du 8 février 2016 consid. 2 et les références). Ce principe connaît toutefois une exception, dans les limite de l'interdiction de la reformatio in pejus, pour des points qui n'ont pas été attaqués ou ne l'ont pas été valablement, mais qui sont intimement liés à ceux sur lesquels le recours a été admis (ATF 117 IV 97 consid. 4b p. 104 ss.).</w:t>
      </w:r>
    </w:p>
    <w:p>
      <w:r>
        <w:rPr>
          <w:b/>
        </w:rPr>
        <w:t>E. 1.2</w:t>
      </w:r>
    </w:p>
    <w:p>
      <w:r>
        <w:t>En l'espèce, la partie plaignante, qui a recouru sur le plan cantonal contre l'acquittement de la Clinique, mais à qui l'arrêt du 18 octobre 2019 n'a pas donné gain de cause, n'a pas recouru valablement devant le TF, son recours ayant été déclaré irrecevable, faute d'intérêt juridique (arrêt du Tribunal fédéral 6B_55/2020 du 13 février 2020). Les autres parties n'ont pas contesté l'acquittement de la Clinique, le MP étant simple intimé devant le TF et le prévenu A______, dont le recours a été admis sur la question de sa culpabilité, n'avait, dans tous les cas, pas d'intérêt personnel pour ce faire (ATF 131 IV 191 consid. 1.2.1 p. 193 ; arrêt du Tribunal fédéral 6B_601/2017 du 26 février 2018 consid. 2). Ainsi, en vertu du principe de la prohibition de la reformatio in pejus qui doit s'examiner exclusivement en lien avec le recours de la Clinique, l'acquittement de cette dernière est définitif. Ainsi, la nouvelle décision de la CPAR doit uniquement porter sur, d'une part, la culpabilité de A______ et ses conséquences sur les frais et dépens pour la procédure de première instance et d'appel et, d'autre part, sur la question des frais et dépens de la procédure de première instance à l'égard de la Clinique et ceux de la procédure d'appel, qui sont intimement liés.</w:t>
      </w:r>
    </w:p>
    <w:p>
      <w:r>
        <w:rPr>
          <w:b/>
        </w:rPr>
        <w:t>E. 2</w:t>
      </w:r>
    </w:p>
    <w:p>
      <w:r>
        <w:t>2.1.1. La présomption d'innocence, garantie par les art. 10 CPP, 32 al. 1 de la Constitution fédérale de la Confédération suisse (Cst.), 14 par. 2 Pacte ONU II et</w:t>
      </w:r>
    </w:p>
    <w:p>
      <w:r>
        <w:rPr>
          <w:b/>
        </w:rPr>
        <w:t>E. 2.2</w:t>
      </w:r>
    </w:p>
    <w:p>
      <w:r>
        <w:t>En l'espèce, il ressort de l'arrêt de renvoi (voir supra lit. e.a) que le flacon d'acide acétique à 98% ne se trouvait pas dans la pharmacie du bloc opératoire lorsque A______ a inspecté ce lieu au cours de son inventaire et que, par voie de conséquence, seul le flacon d'acide acétique à 3% pouvait y être entreposé.</w:t>
      </w:r>
    </w:p>
    <w:p>
      <w:r>
        <w:t>Ainsi, à lire le TF, la bouteille litigieuse a soit été rangée dans l'armoire du bloc opératoire entre le lendemain de l'inventaire, daté du 5 janvier 2011 et réalisé au plus tôt le 31 décembre 201, et le jour de l'opération, à savoir le 31 janvier 2011, à la place de la bouteille à 3%, soit été placée dans le vidoir ou un autre endroit du bloc opératoire à une date indéterminée.</w:t>
      </w:r>
    </w:p>
    <w:p>
      <w:r>
        <w:t>Quoi qu'il en soit, compte tenu du raisonnement du TF, A______ n'a pu négliger de vérifier la conformité du produit litigieux lors de l'inventaire annuel du 5 janvier</w:t>
      </w:r>
    </w:p>
    <w:p>
      <w:r>
        <w:t>- 17/28 - P/19289/2017 2011, dans la mesure où seul un flacon d'acide acétique à 3% se trouvait dans la pharmacie du bloc opératoire le jour où il a procédé à la tenue dudit inventaire. L'on ne saurait ainsi lui reprocher d'avoir enfreint de manière fautive un devoir de prudence, étant rappelé que les autres manquements décrits dans l'acte d'accusation sont prescrits, ce qui n'est pas contesté.</w:t>
      </w:r>
    </w:p>
    <w:p>
      <w:r>
        <w:t>Partant, A______ sera acquitté du chef de lésions corporelles graves par négligence au sens de l'art. 125 al. 1 et 2 CP. 3. 3.1.1.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6B_1180/2019 du 17 février 2020 consid. 2 ; 6B_7/2020 du 17 février 2020 consid. 5.1). Dans cette mesure, la décision</w:t>
      </w:r>
    </w:p>
    <w:p>
      <w:r>
        <w:t>- 18/28 - P/19289/2017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137 IV 352 consid. 2.4.2 p. 357). 3.1.2.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La responsabilité de l'employeur pour le dommage causé par son auxiliaire est causale; l'employeur répond du dommage même s'il n'y a pas eu faute de sa part ou de celle de l'auxiliaire (ATF 110 II 456 consid. 2 p. 460). Selon la règle générale de la causalité, l'employeur ne répond pas du dommage lorsqu'une autre cause a joué un rôle primaire et seul décisif dans la survenance de celui-ci (cf. ATF 131 III 115 consid. 3.1 p. 119). 3.2.1. En l'espèce, à teneur de l'arrêt du TF, il n'y a pas lieu d'examiner la question de d'une éventuelle responsabilité pénale de la Clinique, laquelle a été acquittée de manière définitive (voir supra ch. 1.2). Dans tous les cas, dans le respect du principe accusatoire, une éventuelle condamnation pour lésions corporelles graves par négligence de la Clinique sous l'angle de la responsabilité de l'entreprise n'est pas concevable. 3.2.2. Par ailleurs, conformément à l'arrêt de renvoi (voir supra lit. e.b), il n'apparaîtrait pas que la Clinique aurait, par un comportement illicite et fautif, provoqué l'ouverture de la procédure pénale dirigée contre elle ou en aurait entravé le cours. Ainsi, la Clinique doit être dispensée de supporter les frais et indemnisée pour les dépenses occasionnées par l'exercice raisonnable de ses droits de procédure de première instance au sens de l'art. 429 al. 1 let. a CPP, comme développé infra sous ch. 4.2 et 5.2.2. 4. 4.1.1. Le prévenu supporte les frais de procédure de première instance s'il est condamné (art. 426 al. 1 CPP). 4.1.2. Les frais de la procédure d'appel sont mis à la charge des parties dans la mesure où elles ont obtenu gain de cause ou succombé (art. 428 al. 1 CPP).</w:t>
      </w:r>
    </w:p>
    <w:p>
      <w:r>
        <w:t>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w:t>
      </w:r>
    </w:p>
    <w:p>
      <w:r>
        <w:t>- 19/28 - P/19289/2017 6B_636/2017 du 1er septembre 2017 consid. 4.1 ; 6B_634/2016 du 30 août 2016 consid. 3.2). Dans ce cadre, la répartition des frais relève de l'appréciation du juge du fond (arrêt du Tribunal fédéral 6B_620/2016 du 17 mai 2017 consid. 2.1.2).</w:t>
      </w:r>
    </w:p>
    <w:p>
      <w:r>
        <w:t>4.1.3. Si l'autorité de recours rend une nouvelle décision, elle se prononce également sur les frais fixés par l'autorité inférieure (art. 428 al. 3 CPP). 4.1.4.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 4.2. En l'espèce, compte tenu des acquittements de G______, de A______ (voir supra ch. 2.2) et de la Clinique, laquelle a été dispensée de supporter les frais (art. 426 al. 2 CPP a contrario ; voir supra ch. 3.2), les frais de la procédure de première instance seront laissés à la charge de l'Etat. 4.3. S'agissant de la procédure d'appel antérieure au jugement du TF, l'intégralité des frais, qui comprennent un émolument de CHF 10'000.- (art. 14 al. 1 let. e du Règlement fixant le tarif des frais en matière pénale [RTFMP]), sera laissée à la charge de l'Etat, compte tenu de l'issue de la procédure et de l'exonération des frais dont bénéficie la partie plaignante en appel, qui plaide au profit de l'AJ (art. 136 al. 2 let. b CPP), bien qu'elle succombe entièrement. 4.4. Il en va de même des frais de la procédure d'appel postérieure à l'arrêt du TF du 26 mai 2020, comprenant un émolument de CHF 2'000.-, lesquels seront laissés à la charge de l'Etat. 5. 5.1.1.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 5.1.2. À teneur de l'art. 429 al. 1 let. a CPP, le prévenu a droit, s'il est acquitté totalement ou en partie, à une indemnité pour les dépenses occasionnées par l'exercice raisonnable de ses droits de procédure. 5.1.3. Le prévenu qui obtient gain de cause sur l'action civile, hypothèse réalisée lorsque les conclusions du plaignant sont déclarées infondées (art. 126 al. 1 CPP) ou</w:t>
      </w:r>
    </w:p>
    <w:p>
      <w:r>
        <w:t>- 20/28 - P/19289/2017 lorsqu'elle est renvoyée à agir devant la juridiction civile en vertu de l'art. 126 al. 2 CPP (L. MOREILLON / A. PAREIN-REYMOND, Code de procédure pénale, Bâle 2013, n. 7 ad art. 432), peut requérir de cette partie le versement d'une juste indemnité pour les dépenses occasionnées par les conclusions civiles (art. 432 al. 1 CPP). 5.1.4. Si la partie plaignante au bénéfice de l'assistance judiciaire est libérée des frais de procédure (art. 136 al. 2 CPP), tel n'est pas le cas des prétentions du prévenu à son égard selon l'art. 432 CPP (L. MOREILLON / A. PAREIN-REYMOND, op. cit., n. 12 ad art. 136). 5.1.5.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5.1.6. À teneur de l'art. 436 al. 1 CPP, les prétentions en indemnités et en réparation du tort moral dans la procédure de recours ("Rechtsmittelverfahren", i.e. appel et recours) sont régies par les art. 429 à 434 CPP. 5.1.7.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2e éd., Bâle 2014,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Ainsi, si les frais de défense doivent en principe être pleinement</w:t>
      </w:r>
    </w:p>
    <w:p>
      <w:r>
        <w:t>- 21/28 - P/19289/2017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5.1.8. L'avocat mandaté par un client domicilié à l'étranger ne peut pas facturer de montant au titre de la TVA (ACPR/402/2012 du 27 septembre 2012 consid. 3.). 5.1.9.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6</w:t>
      </w:r>
    </w:p>
    <w:p>
      <w:r>
        <w:t>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w:t>
      </w:r>
    </w:p>
    <w:p>
      <w:r>
        <w:t>- 16/28 - P/19289/2017 celui-ci n'a pas de portée plus large que l'interdiction de l'arbitraire (ATF 145 IV 154 consid. 1.1 p. 155 s. et les références citées).</w:t>
      </w:r>
    </w:p>
    <w:p>
      <w:r>
        <w:t>2.1.2.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et les références citées ; 133 IV 158 consid. 5.1).</w:t>
      </w:r>
    </w:p>
    <w:p>
      <w:r>
        <w:rPr>
          <w:b/>
        </w:rPr>
        <w:t>E. 6.3</w:t>
      </w:r>
    </w:p>
    <w:p>
      <w:r>
        <w:t>En l'espèce, l'état de frais produit par Me F______, conseil juridique gratuit de l'intimé, est adéquat et conforme aux principes exposés, sous réserve des 1h30 consacrée à l'étude de l'arrêt du TF qui doit être tenu pour relevant de l'activité devant cette juridiction, subsidiairement tombant sous le coup du forfait. L'indemnité sera ainsi arrêtée à CHF 1'163.15 correspondant à 4h30 d'activité au tarif de CHF 200.-/heure (CHF 900.-), plus une majoration forfaitaire de 20% (CHF 180.-) et l'équivalent de la TVA au taux de 7.7% en CHF 83.15. * * * * *</w:t>
      </w:r>
    </w:p>
    <w:p>
      <w:r>
        <w:t>- 25/28 - P/19289/2017</w:t>
      </w:r>
    </w:p>
    <w:p>
      <w:r>
        <w:rPr>
          <w:b/>
        </w:rPr>
        <w:t>E. 7</w:t>
      </w:r>
    </w:p>
    <w:p>
      <w:r>
        <w:t>juillet 2011 ; Y. JEANNERET, L'indemnisation du prévenu poursuivi à tort... ou à raison, in Le tort moral en question, Journée de la responsabilité civile 2012, p. 111-139, p. 115). 5.1.10.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- 22/28 - P/19289/2017 5.2.1. S'agissant de la procédure de première instance, il sera fait droit à la demande d'indemnisation de A______, dont l'acquittement a été prononcé (voir supra ch. 2.2), conformément à l'art. 429 al. 1 let. a CPP. Ainsi, seront indemnisées 74h00 consacrées par le chef d'étude au tarif de CHF 450.-/heure (CHF 33'300.-) et 65h00 par le collaborateur, devenu associé, soit au tarif moyen de CHF 400.-/heure (CHF 26'000.-), plus les débours en CHF 1'030.-, ce qui représente un total de CHF 60'330.-, étant précisé que compte tenu du domicile étranger du prévenu A______, le montant s'entend hors TVA. 5.2.2. Compte tenu de ce qui précède (voir supra ch. 3.2), la Clinique se verra allouer l'indemnité de CHF 137'899.90, telle que fixée par le premier juge et dont le montant n'a pas été contesté par le MP. 5.2.3. E______ sera débouté de ses prétentions découlant de l’art. 433 CPP pour la période antérieure à l'octroi de l'AJ, vu les acquittements prononcés et son renvoi à agir au civil. 5.3.1. En ce qui concerne la procédure d'appel antérieure à l'arrêt du TF, A______ réclame CHF 111'750.- d'honoraires d'avocat, CHF 2'500.- pour les frais d'expertise du Pr L______, ainsi que la TVA à 8%. Il convient d'abord de relever qu'une durée de 265 heures de travail (190h00 d'activité de chef d'étude et 75h00 d'activité de collaborateur) pour la défense du précité apparaît très largement excessive, en particulier au regard de l'activité réclamée en première instance, soit 139 heures. En outre, bien que A______ fut le seul prévenu reconnu coupable en première instance, il n'en reste pas moins qu'il a été condamné à une simple peine pécuniaire avec sursis, qu'il n'allègue pas avoir fait l'objet d'une quelconque sanction administrative ou procédure civile ou encore qu'il aurait été licencié par la Clinique, de sorte que l'impact sur sa vie personnelle et professionnelle ne saurait être considéré comme capital. Les prestations fournies par l'avocat de A______ n'ont pas fait l'objet d'une note d'honoraires détaillée, si bien qu'il est impossible pour la Cour de céans d'examiner le caractère raisonnable des montants facturés au regard précisément de l'activité déployée, laquelle a simplement été listée dans le mémoire d'appel (§ 401 à 405). Compte tenu de ce qui précède, la CPAR fixera ex aequo et bono une durée pour chacun des postes énumérés par le conseil du précité, ce au tarif horaire du chef d'étude. Ainsi, apparaissent comme suffisantes, 4h00 d'activité pour analyser le jugement composé de 64 pages, 6h00 pour des entretiens avec le client, 4h00 pour la rédaction de l'annonce et de la déclaration d'appel, 2h00 pour la mise en œuvre du Pr L______,</w:t>
      </w:r>
    </w:p>
    <w:p>
      <w:r>
        <w:t>- 23/28 - P/19289/2017 6h00 pour les échanges de correspondances avec la CPAR, soit la rédaction d'une dizaine de courriers, et l'examen des écritures des autres parties, 8h00 pour les recherches de doctrine et de jurisprudence, ainsi que 150h00 pour la rédaction du mémoire d'appel (147 pages), y compris le réexamen du dossier, d'ores et déjà connu du défendeur. Par conséquent, A______ sera indemnisé à hauteur de CHF 83'500.-, soit 180h00 au tarif de CHF 450.-/heure (CHF 81'000.-), plus la facture du Pr L______ de CHF 2'500.-, dans la mesure où son expertise a été déterminante dans l'acquittement du prévenu (voir supra lit. e.a), montant non soumis à la TVA vu son domicile à l'étranger. 5.3.2. La Clinique, acquittée, a droit à une indemnité pour les dépenses occasionnées par l'exercice raisonnable de ses droits de procédure, sur la base de l'art. 429 al. 1 let. a CPP. Elle obtient par ailleurs gain de cause sur les prétentions civiles formulées par le plaignant, pour lesquelles ce dernier a été renvoyé à agir au civil par le premier juge sur la base de l'art. 126 al. 2 CPP et qui ont été déclarées irrecevables par la Cour de céans, de sorte qu'il se justifie de mettre à la charge de la partie plaignante les dépenses occasionnées par ses conclusions civiles en procédure d'appel, telles que sollicitées par la Clinique et conformément à l'art. 432 al. 1 CPP. Au vu de ce qui précède, la Clinique se verra indemnisée pour les dépenses occasionnées par l'exercice raisonnable de ses droits de procédure, conformément à la note d'honoraires produite, laquelle est conforme aux principes jurisprudentiels cités, pour la période du 26 octobre 2017 au 27 février 2019, à hauteur de CHF 20'207.20, soit 16h20 [recte : 14h40] à CHF 450.-/heures (CHF 6'600.-), 37h35 [recte : 34h45] à CHF 350.-/heure (CHF 12'162.50) et la TVA à 7.7% (CHF 1'444.70). Ainsi, dans la mesure où la Clinique s'est déterminée dans ses écritures sur les conclusions civiles prises par la partie plaignante, soit quatre pages sur un total de 31 pages, E______ se verra condamné à supporter 1/10ème du montant précité, soit CHF 2'020.70. Le solde, à savoir CHF 18'186.50, sera supporté par l'Etat (art. 430 al. 1 let b CPP). 5.4.1. S'agissant de la procédure d'appel postérieure à l'arrêt du TF, A______ réclame CHF 4'850.- d'indemnités, consistant en 10h00 d'activité de chef d'étude et 1h00 pour le collaborateur, plus la TVA à 8%. Compte tenu de ce qui précède (voir supra ch. 5.3.1), la CPAR estime qu'une durée de 8h00 au tarif du chef d'étude est amplement suffisante pour une activité ayant consisté en la rédaction de conclusions motivées de 13 pages et l'examen de l'arrêt du TF du 26 mai 2020 et des observations de la Clinique.</w:t>
      </w:r>
    </w:p>
    <w:p>
      <w:r>
        <w:t>- 24/28 - P/19289/2017 Ainsi, l'indemnité sera arrêtée à CHF 3'600.-, correspondant à 8h00 d'activité au tarif de CHF 450.-/heure, hors TVA (voir supra ch. 5.2.1). 5.4.2. La Clinique a produit une note d'honoraires de CHF 3'200.-, correspondant à 2h35 au tarif de CHF 450.-/heure (CHF 1'162.50) et 5h10 à CHF 350.-/heure (CHF 1'808.30), plus la TVA à 7.7% (CHF 228.80). Dans la mesure où la Clinique n'a fait aucun développement dans ses écritures relatives au sort des conclusions civiles de la partie plaignante, seul l'Etat se verra condamné à indemniser la Clinique à hauteur du montant réclamé, soit CHF 3'200.-. 6. 6.1.1. Selon l'art. 135 al. 1 CPP, le défenseur d'office ou le conseil juridique gratuit (cf. art. 138 al. 1 CPP) est indemnisé conformément au tarif des avocats de la Confédération ou du canton du for du procès. L'art. 16 du règlement sur l'assistance juridique (RAJ) dispose que l'indemnité, en matière pénale, est calculée selon le tarif horaire de CHF 200.- pour le chef d'étude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