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AARP/371/2017 vom 29. Juni 2017</w:t>
      </w:r>
    </w:p>
    <w:p>
      <w:r>
        <w:t>GE Cour de justice, 2017-06-29, FR</w:t>
      </w:r>
    </w:p>
    <w:p>
      <w:r>
        <w:rPr>
          <w:b/>
        </w:rPr>
        <w:t xml:space="preserve">Quelle: </w:t>
      </w:r>
      <w:r>
        <w:t>https://mcp.opencaselaw.ch/entscheid/ge_gerichte_AARP_371_2017</w:t>
      </w:r>
    </w:p>
    <w:p>
      <w:r>
        <w:t>FR: GE_GERICHTE AARP/371/2017 du 29 juin 2017</w:t>
      </w:r>
    </w:p>
    <w:p>
      <w:r>
        <w:t>IT: GE_GERICHTE AARP/371/2017 del 29 giugno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w:t>
      </w:r>
    </w:p>
    <w:p>
      <w:r>
        <w:t>- 6/12 - P/18980/2015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Il est admissible, le cas échéant, que la juridiction d'appel motive de manière succincte la peine infligée et renvoie à l'appréciation du jugement de première instance pour le surplus (cf. art. 82 al. 4 CPP ; ATF 141 IV 244 consid. 1.2.3 ; arrêt du Tribunal fédéral 6B_1043/2016 du 19 juillet 2017 consid. 1.2).</w:t>
      </w:r>
    </w:p>
    <w:p>
      <w:r>
        <w:t>- 7/12 - P/18980/2015</w:t>
      </w:r>
    </w:p>
    <w:p>
      <w:r>
        <w:t>2.1.2.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2.1.3.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2.1.4. Selon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 arrêt du Tribunal fédéral 6B_1249/2014 du</w:t>
      </w:r>
    </w:p>
    <w:p>
      <w:r>
        <w:rPr>
          <w:b/>
        </w:rPr>
        <w:t>E. 2.2</w:t>
      </w:r>
    </w:p>
    <w:p>
      <w:r>
        <w:t>Force est de constater, à l'instar du premier juge, que la faute de l'appelant est lourde. Il a contrevenu, en tout connaissance de cause, aux règles de la circulation routière, alors même qu'il était sans permis valable, et, lors des deux dernières occurrences, frappé d'une interdiction de conduire en Suisse. Son taux d'ébriété, auquel s'ajoutaient la prise de cocaïne et la fatigue consécutive à une nuit blanche sous réserve d'une heure de sommeil, était élevé le 16 juillet 2015, d'où une mise en danger grave de la sécurité des autres usagers de la route et la sienne. Il y a concours d'infractions, l'intéressé ayant réitéré ses agissements alors même qu'il n'était pas encore fixé sur les suites pénales du contrôle du 16 juillet 2015 et nonobstant la conséquence administrative aussitôt subie. Ses mobiles étaient égoïstes et futiles, dénotant une singulière propension de l'intéressé à faire passer sa convenance personnelle avant l'intérêt collectif protégé par les règles sur la circulation routière. La collaboration de l'appelant doit être qualifiée de moyenne. Il a certes reconnu les faits, qu'il ne pouvait du reste guère nier, mais a néanmoins tenté de les minimiser et de les justifier par les circonstances, ce qui démontre que la prise de conscience est imparfaite. En prolongement, l'assurance avec laquelle l'appelant évacue toute idée d'une problématique liée à l'alcool, affirmant avoir pu maîtriser de lui-même sa consommation, et reconnaissant dans la foulée avoir l'intention de recommencer de conduire, fût-ce seulement en France, à brève échéance, est préoccupante. Elle l'est d'autant plus que les trois antécédents spécifiques, dont un relativement récent, n'avaient pas été source d'enseignement. La situation personnelle de l'intéressé était bonne, celui-ci disposant d'un emploi. Certes, le fait que le lieu de travail était distant de son domicile l'a placé face à des difficultés logistiques, mais cela aurait dû d'autant plus le motiver à faire les démarches nécessaires pour avoir un permis en règle et, surtout, à s'abstenir de conduire sous les effets de l'alcool ou de la cocaïne. La première infraction commise, il aurait pu et dû s'abstenir de conduire, quitte à s'organiser. Ses projets - au demeurant vagues -, d'une nouvelle activité, pour méritoires qu'ils soient, sont sans lien avec les faits et ne sont donc pas pertinents s'agissant d'évaluer sa future bonne ou mauvaise conduite sur la route. L'appelant n'explique par ailleurs</w:t>
      </w:r>
    </w:p>
    <w:p>
      <w:r>
        <w:t>- 9/12 - P/18980/2015 pas en quoi la peine prononcée par le premier juge et assortie du sursis ferait davantage obstacle auxdits projets que celle plaidée. Aucune circonstance atténuante n'est réalisée, ni d'ailleurs plaidée. Les cinq délits aux art. 91 al. 2 let. a et b LCR ainsi que 95 al. 1 let. a et b LCR sont chacun passibles d'une peine privative de liberté de trois ans au plus ou d'une peine pécuniaire. Eu égard à la mise en danger et à l'importance du taux d'alcoolémie en l'espèce, il sera retenu que l'infraction la plus grave commise est la conduite en état d'ébriété qualifiée du 16 juillet 2015. Conformément à l'art. 49 al. 1 CP, la peine y relative, arrêtée à une quotité de quatre mois, doit être augmentée dans une juste proportion. Vu l'ensemble de ces circonstances, une peine de sept mois est adéquate, voire clémente.</w:t>
      </w:r>
    </w:p>
    <w:p>
      <w:r>
        <w:rPr>
          <w:b/>
        </w:rPr>
        <w:t>E. 2.3</w:t>
      </w:r>
    </w:p>
    <w:p>
      <w:r>
        <w:t>La solution préconisée par le premier juge, consistant dans le choix d'une peine privative de liberté, mais assortie du sursis, est équilibrée, voire bienveillante, compte tenu de la gravité de la faute et de l'ensemble de la situation. Il résulte en effet clairement du dossier que l'appelant est peu sensible aux sanctions, pénales ou administratives, prononcées à son encontre, de sorte qu'il faut retenir qu'une peine pécuniaire assortie d'un sursis, ou même d'un sursis et d'une amende à titre de sanction immédiate, n'aurait pas l'effet dissuasif escompté. D'ailleurs l'appelant a déjà éprouvé la peine pécuniaire, avec ou sans sursis, sans en tirer de leçon. A ce stade, il faut donc tenter une autre approche, et espérer que l'effet dissuasif recherché pourra être produit par la menace d'avoir à exécuter une peine privative de liberté significative, en cas de récidive. Cette conclusion est encore confortée par le fait que le pronostic est très incertain, eu égard à la prise de conscience limitée et à l'assurance affichée par l'appelant selon laquelle il serait désormais capable de se prendre en main tout seul. La proposition, formulée au demeurant uniquement dans la plaidoirie de l'avocat de l'appelant, d'une astreinte à des contrôles d'abstinence ne saurait être suivie, l'intéressé ne se disant pas abstinent, ni désireux de le devenir, mais capable de maîtriser sa consommation. En conclusion, une sanction de sept mois de peine privative de liberté, assortie du sursis constitue une chance qui est encore donnée à l'appelant, mais la dernière aussi. S'agissant d'un cas limite, tant le pronostic est incertain, un long délai d'épreuve s'impose. Comme retenu à juste titre par le premier juge.</w:t>
      </w:r>
    </w:p>
    <w:p>
      <w:r>
        <w:rPr>
          <w:b/>
        </w:rPr>
        <w:t>E. 2.4</w:t>
      </w:r>
    </w:p>
    <w:p>
      <w:r>
        <w:t>L'amende pour les contraventions de conduite en état d'ébriété simple et de défaut du port de la ceinture de sécurité n'est à juste titre pas contestée par l'appelant,</w:t>
      </w:r>
    </w:p>
    <w:p>
      <w:r>
        <w:t>- 10/12 - P/18980/2015 ni dans son principe, ni dans sa quotité, de sorte qu'il suffit de renvoyer à la motivation du Tribunal de police.</w:t>
      </w:r>
    </w:p>
    <w:p>
      <w:r>
        <w:rPr>
          <w:b/>
        </w:rPr>
        <w:t>E. 2.5</w:t>
      </w:r>
    </w:p>
    <w:p>
      <w:r>
        <w:t>L'appel est donc rejeté. 3. Vu cette issue, l'appelant supportera les frais de la procédure d'appel, comprenant un émolument d'arrêt de CHF 1'500.-. (art. 428 CPP et art. 14 al. 1 let. e du règlement fixant le tarif des frais en matière pénale, du 22 décembre 2010 [RTFMP ; RS-GE E 4 10.03]). * * * * *</w:t>
      </w:r>
    </w:p>
    <w:p>
      <w:r>
        <w:t>- 11/12 - P/18980/2015</w:t>
      </w:r>
    </w:p>
    <w:p>
      <w:r>
        <w:rPr>
          <w:b/>
        </w:rPr>
        <w:t>E. 7</w:t>
      </w:r>
    </w:p>
    <w:p>
      <w:r>
        <w:t>septembre 2015 consid. 1.2). En effet, le principe en vertu duquel la peine doit être fixée d'après la culpabilité de l'auteur, en prenant en considération les antécédents et</w:t>
      </w:r>
    </w:p>
    <w:p>
      <w:r>
        <w:t>- 8/12 - P/18980/2015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