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AARP/371/2015 vom 1. September 2015</w:t>
      </w:r>
    </w:p>
    <w:p>
      <w:r>
        <w:t>GE Cour de justice, 2015-09-01, FR</w:t>
      </w:r>
    </w:p>
    <w:p>
      <w:r>
        <w:rPr>
          <w:b/>
        </w:rPr>
        <w:t xml:space="preserve">Quelle: </w:t>
      </w:r>
      <w:r>
        <w:t>https://mcp.opencaselaw.ch/entscheid/ge_gerichte_AARP_371_2015</w:t>
      </w:r>
    </w:p>
    <w:p>
      <w:r>
        <w:t>FR: GE_GERICHTE AARP/371/2015 du 1 septembre 2015</w:t>
      </w:r>
    </w:p>
    <w:p>
      <w:r>
        <w:t>IT: GE_GERICHTE AARP/371/2015 del 1 settembre 2015</w:t>
      </w:r>
    </w:p>
    <w:p>
      <w:pPr>
        <w:pStyle w:val="Heading2"/>
      </w:pPr>
      <w:r>
        <w:t>Erwägungen</w:t>
      </w:r>
    </w:p>
    <w:p>
      <w:r>
        <w:rPr>
          <w:b/>
        </w:rPr>
        <w:t>E. 1</w:t>
      </w:r>
    </w:p>
    <w:p>
      <w:r>
        <w:t>L'appel est recevable pour avoir été interjeté et motivé selon la forme et dans les délais prescrits (art. 398 et 399 CPP).</w:t>
      </w:r>
    </w:p>
    <w:p>
      <w:r>
        <w:t>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mesures qui ont été ordonnées (let. c) ; les prétentions civiles ou certaines d'entre elles (let. d) ; les conséquences accessoires du jugement (let. e) ; les frais, les indemnités et la réparation du tort moral (let. f) ; les décisions judiciaires ultérieures (let. g).</w:t>
      </w:r>
    </w:p>
    <w:p>
      <w:r>
        <w:t>La Chambre limite son examen aux violations décrites dans l'acte d'appel (art. 404 al. 1 CPP), sauf en cas de décisions illégales ou inéquitables (art. 404 al. 2 CPP).</w:t>
      </w:r>
    </w:p>
    <w:p>
      <w:r>
        <w:rPr>
          <w:b/>
        </w:rPr>
        <w:t>E. 2.1</w:t>
      </w:r>
    </w:p>
    <w:p>
      <w:r>
        <w:t>; 6B_965/2013 du 3 décembre 2013 consid. 3.1.1 ; A. KUHN / Y. JEANNERET (éds), Commentaire romand : Code de procédure pénale suisse, Bâle 2011, n. 8 ad art. 433 ; N. SCHMID, op. cit., n. 3 ad art. 433).</w:t>
      </w:r>
    </w:p>
    <w:p>
      <w:r>
        <w:rPr>
          <w:b/>
        </w:rPr>
        <w:t>E. 3.1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 à l'auteur lui-même (Täterkomponente), à savoir les antécédents (judiciaires, y inclus à l'étranger [ATF 105 IV 225 consid. 2 p. 226 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ATF 129 IV 6 consid. 6.1 p. 20 ss ; arrêt du Tribunal fédéral 6B_660/2013 du 19 novembre 2013 consid. 2.2).</w:t>
      </w:r>
    </w:p>
    <w:p>
      <w:r>
        <w:rPr>
          <w:b/>
        </w:rPr>
        <w:t>E. 3.2</w:t>
      </w:r>
    </w:p>
    <w:p>
      <w:r>
        <w:t>Conformément à l'art. 34 CP, la peine pécuniaire est fixée en jours-amende dont le tribunal fixe le nombre en fonction de la culpabilité de l'auteur (al. 1). Il y a lieu d'appliquer la règle générale de l'art. 47 CP, selon laquelle le tribunal, hormis la faute au sens étroit (art. 47 al. 2 CP), doit prendre en considération les antécédents et la</w:t>
      </w:r>
    </w:p>
    <w:p>
      <w:r>
        <w:t>- 15/21 - P/1659/2012 situation personnelle de ce dernier ainsi que l'effet de la peine sur son avenir (art. 47 al. 1 CP). Le nombre des jours-amende exprime la mesure de la peine. Un jour-amende est de CHF 3'000 au plus. Le juge en arrête le montant selon la situation personnelle et économique de l'auteur au moment du jugement, notamment en tenant compte de son revenu et de sa fortune, de son mode de vie, de ses obligations d'assistance, en particulier familiales, et du minimum vital (art. 34 al. 2 CP).</w:t>
      </w:r>
    </w:p>
    <w:p>
      <w:r>
        <w:rPr>
          <w:b/>
        </w:rPr>
        <w:t>E. 3.3</w:t>
      </w:r>
    </w:p>
    <w:p>
      <w:r>
        <w:t>Le premier juge a qualifié la faute de l'appelant d'importante, eu égard à son comportement consistant à trahir la confiance d'une dame d'un certain âge et d'une grande naïveté. Les conséquences de son acte sont graves pour l'intimée, étant précisé que les allégations de l'appelant quant à la fortune dont elle disposerait sont contredites par l'exercice d'une activité professionnelle au-delà de l'âge de la retraite. L'appelant a agi par appât du gain facile. Il n'a par la suite pas hésité à endormir les soupçons de sa victime en l'appelant régulièrement pour lui promettre un remboursement et en lui faisant croire qu'il avait donné des ordres en ce sens. Huit ans après les faits, l'appelant n'a toujours pas entrepris la moindre démarche concrète en vue de rembourser la victime. Persistant dans ses manœuvres dilatoires et dans ses explications invraisemblables, l'appelant n'a aucunement pris conscience de sa faute. Au bénéfice d'une riche carrière professionnelle, il avait toutes les capacités personnelles et intellectuelles pour assumer ses dépenses sans enfreindre la loi, ce qui rend d'autant moins compréhensible son comportement. La collaboration à la procédure a été mauvaise, l'appelant n'ayant jamais présenté un état de sa situation financière propre à clarifier les faits. L'appelant n'a pas d'antécédents judiciaires en Suisse. Ceux figurant à l'extrait du casier judiciaire français sont anciens. En arrêtant la peine à 360 jours-amende, le premier juge a adéquatement tenu compte de l'ensemble de ces critères. L'appelant n'émet d'ailleurs pas de critique à cet égard, ni d'ailleurs sur le montant du jour-amende, qui correspond à sa situation financière et doit partant également être confirmé. Le sursis est acquis à l'appelant (art. 391 al. 2 CPP). Le délai d'épreuve a judicieusement été arrêté à trois ans, une durée à même de dissuader l'appelant de comportements similaires. Le jugement entrepris sera dès lors confirmé sur ce point.</w:t>
      </w:r>
    </w:p>
    <w:p>
      <w:r>
        <w:t>- 16/21 - P/1659/2012</w:t>
      </w:r>
    </w:p>
    <w:p>
      <w:r>
        <w:rPr>
          <w:b/>
        </w:rPr>
        <w:t>E. 4</w:t>
      </w:r>
    </w:p>
    <w:p>
      <w:r>
        <w:t>4.1.1. En vertu de l'art. 126 al. 1 let. a CPP, le tribunal statue également sur les conclusions civiles présentées lorsqu'il rend un verdict de culpabilité à l'encontre du prévenu. En revanche, il renvoie la partie plaignante à agir par la voie civile lorsqu'elle n'a pas chiffré ses conclusions de manière suffisamment précise ou ne les a pas suffisamment motivées (art. 126 al. 2 let. b CPP).</w:t>
      </w:r>
    </w:p>
    <w:p>
      <w:r>
        <w:t>4.1.2. En qualité de partie plaignante, le lésé peut faire valoir des conclusions civiles déduites de l'infraction par adhésion à la procédure pénale (art. 122 al. 1 CPP). Les conclusions civiles consistent principalement en des prétentions en dommages- intérêts (art. 41ss de la loi fédérale du 30 mars 1911 complétant le Code civil suisse [CO, Code des obligations ; RS 220]) et en réparation du tort moral (art. 47 et 49 CO) dirigées contre le prévenu (A. KUHN / Y. JEANNERET (éds), Commentaire romand : Code de procédure pénale suisse, Bâle 2011, n. 16s. ad art. 122). Les prétentions contractuelles ne constituent en revanche pas des conclusions civiles au sens de l'art. 122 CPP, dès lors qu'elles ne reposent pas sur un acte illicite et ne peuvent donc se déduire de l'infraction pénale (M. NIGGLI / M. HEER / H. WIPRÄCHTIGER (éds), Strafprozessordnung – Jugendstrafprozessordnung, Basler Kommentar StPO/JStPO, 2e éd., Bâle 2014, n. 70 ad art. 122).</w:t>
      </w:r>
    </w:p>
    <w:p>
      <w:r>
        <w:rPr>
          <w:b/>
        </w:rPr>
        <w:t>E. 4.2</w:t>
      </w:r>
    </w:p>
    <w:p>
      <w:r>
        <w:t>Compte tenu du verdict de culpabilité prononcé en première instance, confirmé en appel, c'est à juste titre que le premier juge est entré en matière sur les conclusions chiffrées de l'intimée fondées sur l'art. 41 CO. Que la responsabilité de l'appelant eût pu aussi être engagée sur un fondement contractuel n'empêchait nullement le premier juge de se prononcer : les actions des art. 41 ss et 97 ss CO ne s'excluent pas mutuellement, un seul et même acte pouvant constituer simultanément la violation d'un contrat et un acte illicite (ATF 126 III 113 consid. 2a p. 114). Par la commission de l'infraction, l'appelant a causé illicitement et fautivement à l'intimée un dommage. Les conditions fixées à l'art. 41 CO étant réunies, les prétentions de l'intimée sont fondées et c'est également à juste titre que le premier juge y a fait droit. Le montant alloué à ce titre n'est pas contesté par l'appelant, de sorte que le jugement dont est appel sera confirmé.</w:t>
      </w:r>
    </w:p>
    <w:p>
      <w:r>
        <w:rPr>
          <w:b/>
        </w:rPr>
        <w:t>E. 5.1</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prescrit notamment à la partie plaignante de chiffrer et justifier ses prétentions.</w:t>
      </w:r>
    </w:p>
    <w:p>
      <w:r>
        <w:t>La partie plaignante obtient gain de cause au sens de l'art. 433 al. 1 CPP lorsque le prévenu est condamné et/ou si les prétentions civiles sont admises (M. NIGGLI / M.</w:t>
      </w:r>
    </w:p>
    <w:p>
      <w:r>
        <w:t>- 17/21 - P/1659/2012 HEER / H. WIPRÄCHTIGER (éds), Schweizerische Strafprozessordnung / Schweizerische Jugendstrafprozessordnung, Basler Kommentar StPO/JStPO, 2e éd., Bâle 2014, n. 10 ad art. 433 ; N. SCHMID, Schweizerische Strafprozessordnung : Praxiskommentar, 2e éd., Zurich 2013, n. 6 ad art. 433). Le CPP différencie les frais causés par la procédure pénale, dont le plaignant peut être défrayé lorsque le prévenu est condamné, de ceux occasionnés par les conclusions civiles, dépenses qui peuvent être indemnisées lorsque ces conclusions se révèlent fondées (ATF 139 IV 102 consid. 4.3 p. 108 ; arrêt du Tribunal fédéral 6B_753/2013 du 17 février 2014 consid. 4.2). La juste indemnité, notion qui laisse un large pouvoir d'appréciation au juge, couvre les dépenses et les frais nécessaires pour faire valoir le point de vue de la partie plaignante dans la procédure pénale. Il s'agit en premier lieu des frais d'avocat de la partie plaignante (arrêts du Tribunal fédéral 6B_495/2014 du 6 octobre 2014 consid.</w:t>
      </w:r>
    </w:p>
    <w:p>
      <w:r>
        <w:rPr>
          <w:b/>
        </w:rPr>
        <w:t>E. 5.2</w:t>
      </w:r>
    </w:p>
    <w:p>
      <w:r>
        <w:t>En l'espèce, la partie plaignante a obtenu gain de cause vu le verdict de culpabilité, de sorte que le principe d'une indemnisation de ses frais de défense par le prévenu lui est acquis. Les postes de la note d'honoraires produite relatifs à la procédure d'appel correspondent à une activité nécessaire et justifiée, facturée à un taux horaire de CHF 400.- usuel pour le canton de Genève. Par conséquent, l'appelant sera condamné à verser à la partie plaignante la somme de CHF 1'366.60 au titre de ses frais de défense en appel. Les honoraires par CHF 15'999.05, pourtant chiffrés à CHF 14'649.10 devant le premier juge, de même que le montant de CHF 695.- annoncé en sus, relèvent en revanche de l'indemnisation des frais de défense pour la procédure de première instance s'agissant de frais d'ouverture de dossier et d'activités déployées à ce stade de la procédure. L'appel émanant du prévenu, la Chambre de céans n'est pas habilitée à revoir, à la hausse, le montant alloué par le premier juge à ce titre, dans la mesure où un tel procédé violerait l'interdiction de la reformatio in pejus (art. 391 al. 2 CPP). Il n'y a pas lieu non plus de diminuer le montant de l'indemnité accordée, ce que l'appelant ne soutient d'ailleurs pas, de sorte que le jugement entrepris doit être également confirmé sur ce point.</w:t>
      </w:r>
    </w:p>
    <w:p>
      <w:r>
        <w:rPr>
          <w:b/>
        </w:rPr>
        <w:t>E. 6</w:t>
      </w:r>
    </w:p>
    <w:p>
      <w:r>
        <w:t>L'appelant qui succombe, supportera les frais de la procédure d'appel, qui comprennent un émolument de jugement de CHF 2'000.- (art. 428 al. 1 CPP et 14 al. 1 let. e du Règlement fixant le tarif des frais en matière pénale ; E 4 10.03).</w:t>
      </w:r>
    </w:p>
    <w:p>
      <w:r>
        <w:t>- 18/21 - P/1659/2012</w:t>
      </w:r>
    </w:p>
    <w:p>
      <w:r>
        <w:rPr>
          <w:b/>
        </w:rPr>
        <w:t>E. 7.1</w:t>
      </w:r>
    </w:p>
    <w:p>
      <w:r>
        <w:t>Les frais imputables à la défense d'office sont des débours (art. 422 al. 2 let. a CPP) qui constituent des frais de procédure (art. 422 al. 1 CPP) et doivent, conformément à l'art. 421 al. 1 CPP, être fixés par l'autorité pénale dans la décision finale au plus tard (ATF 139 IV 199 consid. 5.1). Au regard de ce qui précède, la CPAR est compétente, au sens de l'art. 135 al. 2 CPP, pour statuer sur l'activité postérieure à sa saisine, le 12 décembre 2014.</w:t>
      </w:r>
    </w:p>
    <w:p>
      <w:r>
        <w:rPr>
          <w:b/>
        </w:rPr>
        <w:t>E. 7.2</w:t>
      </w:r>
    </w:p>
    <w:p>
      <w:r>
        <w:t>Selon l'art. 135 al. 1 CPP, le défenseur d'office est indemnisé conformément au tarif des avocats de la Confédération ou du canton du for du procès. S'agissant d'une affaire soumise à la juridiction cantonale genevoise, c'est le droit genevois qui s'applique, à savoir le règlement sur l'assistance juridique et l'indemnisation des conseils juridiques et défenseurs d'office en matière civile, administrative et pénale du 28 juillet 2010 (RAJ ; E 2 05.04). Selon l'art. 16 al. 1 RAJ, l'indemnité due à l'avocat et au défenseur d'office en matière pénale est calculée selon le tarif horaire suivant, débours de l'étude inclus : avocat stagiaire CHF 65.- (let. a) ; collaborateur CHF 125.- (let. b) ; chef d'étude CHF 200.- (let. c). La TVA est versée en sus.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(art. 16 al. 2 RAJ). La CPAR s'est inspirée jusqu'à présent des "Instructions relatives à l'établissement de l'état de frais" et de l'"Etat de frais standard – Mode d'emploi et modèle" émis en 2002 et 2004, dans un souci de rationalisation et de simplification, par le Service de l'assistance juridique, autrefois chargé de la taxation. Une indemnisation forfaitaire de 20% jusqu'à 30 heures d'activité consacrée aux conférences, audiences et autres actes de la procédure, ou 10% lorsque l'état de frais porte sur plus de 30 heures, est allouée pour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w:t>
      </w:r>
    </w:p>
    <w:p>
      <w:r>
        <w:rPr>
          <w:b/>
        </w:rPr>
        <w:t>E. 7.3</w:t>
      </w:r>
    </w:p>
    <w:p>
      <w:r>
        <w:t>En l'espèce, Me X______ n'a pas déposé d'état de frais (art. 17 RAJ). Les bases de calcul de cette indemnité étant fixées par le règlement RAJ susmentionné, la CPAR est toutefois à même d'arrêter le montant de l'indemnité.</w:t>
      </w:r>
    </w:p>
    <w:p>
      <w:r>
        <w:t>- 19/21 - P/1659/2012 En l'occurrence, la déclaration d'appel tenant lieu de mémoire d'appel motivé a été rédigée par le précédent défenseur d'office de l'appelant. Il en résulte que l'activité de Me X______ au cours de la procédure d'appel s'est limitée à prendre connaissance de l'ordonnance présidentielle du 17 février 2015 et des observations des parties. La CPAR estime qu'une telle activité, en principe rétribuée par le biais du forfait pour l'activité diverse, est correctement indemnisée par l'octroi d'un montant de CHF 100.-. * * * * *</w:t>
      </w:r>
    </w:p>
    <w:p>
      <w:r>
        <w:t>- 20/21 - P/1659/2012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