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AARP/369/2019 vom 29. Oktober 2019</w:t>
      </w:r>
    </w:p>
    <w:p>
      <w:r>
        <w:t>GE Cour de justice, 2019-10-29, FR</w:t>
      </w:r>
    </w:p>
    <w:p>
      <w:r>
        <w:rPr>
          <w:b/>
        </w:rPr>
        <w:t xml:space="preserve">Quelle: </w:t>
      </w:r>
      <w:r>
        <w:t>https://mcp.opencaselaw.ch/entscheid/ge_gerichte_AARP_369_2019</w:t>
      </w:r>
    </w:p>
    <w:p>
      <w:r>
        <w:t>FR: GE_GERICHTE AARP/369/2019 du 29 octobre 2019</w:t>
      </w:r>
    </w:p>
    <w:p>
      <w:r>
        <w:t>IT: GE_GERICHTE AARP/369/2019 del 29 ottobre 2019</w:t>
      </w:r>
    </w:p>
    <w:p>
      <w:pPr>
        <w:pStyle w:val="Heading2"/>
      </w:pPr>
      <w:r>
        <w:t>Erwägungen</w:t>
      </w:r>
    </w:p>
    <w:p>
      <w:r>
        <w:rPr>
          <w:b/>
        </w:rPr>
        <w:t>E. 1</w:t>
      </w:r>
    </w:p>
    <w:p>
      <w:r>
        <w:t>1.1.1. Selon l'art. 429 al. 1 CPP, le prévenu bénéficiant d'un acquittement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Le droit à l'indemnisation est ouvert dès que des charges pesant sur le prévenu ont été abandonnées. L'abandon des charges pesant sur le prévenu peut être total ou partiel. L'autorité pénale examine d'office les prétentions du prévenu. Elle peut enjoindre à celui-ci de les chiffrer et de les justifier (art. 429 al. 2 CPP). Cette disposition s'applique aux voies de recours (y inclus l'appel) en vertu de l'art. 436 al. 1 CPP (arrêt du Tribunal fédéral 6B_74/2017 du 21 avril 2017 consid. 2.1).</w:t>
      </w:r>
    </w:p>
    <w:p>
      <w:r>
        <w:t>- 16/31 - P/4010/2009 L'art. 448 al. 1 CPP prévoit que les procédures pendantes au moment de l'entrée en vigueur du présent code se poursuivent selon le nouveau droit, à moins que les dispositions qui suivent en disposent autrement. Cette norme, qui ne vise expressément que l'application des règles strictement procédurales du nouveau code, exprime la volonté du législateur de substituer le plus rapidement possible aux anciennes les nouvelles règles de procédure et consacre une règle générale de droit transitoire (Message relatif à l'unification du droit de la procédure pénale du 21 décembre 2005, ch. 2.12.2.1, FF 2006 1057 p. 1334). Les règles relatives à l'indemnisation du prévenu acquitté ne sont cependant pas de cette nature. Elles relèvent, en tant qu'elles définissent une responsabilité et ses conséquences financières, du droit matériel (arrêts du Tribunal fédéral 6B_169/2012 du 25 juin 2012 consid. 2, 6B_618/2011 du 22 mars 2012 consid. 1.2.1 et 6B_428/2011 du 21 novembre 2011 consid. 2.2.2).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non-rétroactivité, à défaut d'une règle contraire spécifique (arrêt du Tribunal fédéral 6B_428/2011 du 21 novembre 2011 consid. 2.2.2). En l'absence de toute réglementation inter-temporelle expresse dans le CPP,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(arrêts du Tribunal fédéral 6B_265/2012 du 10 septembre 2012 consid. 2.2.1 et 6B_618/2011 du 22 mars 2012 consid. 1.2.2). Lorsque la procédure pénale s'était entièrement déroulée sous l'égide des anciennes règles cantonales de procédure, ces dernières sont applicables à l'indemnisation (cf. arrêt 6B_265/2012 du 10 septembre 2012 consid. 2.2 et les références). S'agissant de procédures pénales commencées sous l'ancien droit mais achevées après l'entrée en vigueur du CPP, le Tribunal fédéral a admis l'application du CPP par simplification, dans la mesure où elle n'apparaissait pas moins favorable que l'ancien droit (arrêts du Tribunal fédéral 6B_545/2015 du 10 février 2016 consid. 5.1.1, 6B_362/2015 du 3 décembre 2015 consid. 2.2 et 6B_668/2012 du 11 avril 2013 consid. 2.4.1 et les références). L'art. 429 al. 2 CPP prévoit que l'autorité pénale examine d'office les prétentions du prévenu. Le prévenu a ainsi un devoir de collaboration (arrêts du Tribunal fédéral 6B_796/2016 du 15 mai 2017 consid. 1 ; 6B_928/2014 du 10 mars 2014 consid. 2 non publié in ATF 124 IV 163). L'autorité pénale n'a pas à établir d'office tous les faits pertinents pour le jugement des prétentions en indemnisation (ATF 142 IV 237 consid. 1.3.1 p. 240 ; arrêts du Tribunal fédéral 6B_1142/2016 du 18 mai 2017 consid. 2.1 ; 6B_477/2016 du 22 mars 2017 consid. 2.1). L'art. 429 al. 2 CPP ne dispense pas le prévenu acquitté, qui supporte le fardeau de la preuve, de collaborer avec le juge (arrêts du Tribunal fédéral 6B_740/2016 du 2 juin 2017 consid. 3.1 ; 6B_928/2014 du 10 mars 2016 consid. 2, non publié in ATF 142 IV 163).</w:t>
      </w:r>
    </w:p>
    <w:p>
      <w:r>
        <w:t>- 17/31 - P/4010/2009 La preuve de l'existence du dommage, son ampleur et sa relation de causalité adéquate avec la poursuite pénale introduite à tort incombent au requérant (arrêt du Tribunal fédéral 6B_596/2007 du 11 mars 2008 consid. 2.2). 1.1.2. S'agissant de l'indemnité pour les dépenses occasionnées par l'exercice raisonnable de ses droits de procédure, le défenseur doit donc produire une liste d'opérations comportant le temps consacré et le montant de ses honoraires (arrêt du Tribunal pénal fédéral, SK.2010.27 du 12 mai 2011 ; ACPR/179/2012 du 2 mai 2012).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p. 1 ; ATF 93 I 116 consid. 2 p. 120). En revanche,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Si l'autorité considère n'être pas suffisamment renseignée, elle doit, en application de l'art. 429 al. 2 CPP, enjoindre le recourant de préciser ses prétentions, en particulier de fournir des notes d'honoraires plus détaillées. Il en va de même s'agissant de la séparation des heures effectuées par un associé et celles effectuées par un stagiaire (ATF 142 IV 237 consid. 1.3.1 ; arrêts du Tribunal fédéral 6B_1142/2016 du 18 mai 2017 consid. 2.1 ; 6B_477/2016 du 22 mars 2017 consid. 2.1).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p. 162 ss ; arrêt du Tribunal fédéral 6B_392/2013 du 4 novembre 2013 consid. 2.3). En effet, l'indemnisation prévue à l'art. 429 al. 1 let. a CPP tend à ce que l'État répare la totalité du dommage en relation avec la procédure pénale (Message, p.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S'il faut garder à l'esprit que le droit pénal matériel et le droit de procédure sont complexes et représentent, pour des personnes qui ne sont pas habituées à procéder, une</w:t>
      </w:r>
    </w:p>
    <w:p>
      <w:r>
        <w:t>- 18/31 - P/4010/2009 source de difficultés et que celui qui se défend seul est susceptible d'être moins bien loti,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arrêt du Tribunal fédéral 6B_384/2014 du 6 février 2015 consid. 3.1 ; ACPR/449/2014 du 6 octobre 2014). L'indemnité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(ATF 142 IV 45 consid. 2.1 p. 47 ; Message, FF 2005, p. 1312 ch. 2.10.3.1).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Ainsi, si les frais de défense doivent en principe être pleinement indemnisés, il n'en reste pas moins qu'ils doivent rester dans un rapport raisonnable par rapport à la complexité et à l'importance de l'affaire (ATF 142 IV 163 p. 169).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w:t>
      </w:r>
    </w:p>
    <w:p>
      <w:r>
        <w:t>- 19/31 - P/4010/2009 proportionné à la difficulté et à l'importance de la cause, c'est-à-dire raisonnable au sens de la loi (ACPR/140/2013 du 12 avril 2013). Le CPP n'exclut pas en soi la participation de plusieurs défenseurs. Autre est néanmoins la question de savoir si le prévenu acquitté peut requérir une indemnisation pour ses frais de défense qui couvre l'intervention de ses différents défenseurs. Le recours à plusieurs avocats peut, en cas de procédure volumineuse et complexe, par exemple une procédure se rapportant à la gestion des intérêts pécuniaires d'une banque, procéder d'un exercice raisonnable des droits de procédure (arrêt du Tribunal fédéral 6B_875/2013 du 7 avril 2014 consid. 4.3 et 4.5 = SJ 2014 I 424-425). Le droit du prévenu à une indemnisation de ses frais de défense ne saurait être supprimé en raison de prestations versées par une assurance de protection juridique. L'autorité qui a exercé l'action pénale reste tenue de verser une réparation (ATF 142 IV 42 consid. 2.3. p. 43 et suivante in SJ 2016 I p. 169). L'indemnité fondée sur l'art. 429 al. 1 let. a CPP pour les dépenses obligatoires occasionnées par la procédure ne produit pas d'intérêts (ATF 143 IV 495 consid. 2.2.4 ; arrêt du Tribunal fédéral 6B_1008/2017 du 5 avril 2018 consid. 2.3 in fine).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1.2</w:t>
      </w:r>
    </w:p>
    <w:p>
      <w:r>
        <w:t>A______ a été acquitté du chef d'accusation retenu contre lui par le MP dans la procédure, de sorte que le principe de l'indemnisation de ses frais de défense est acquis, ce que le MP ne conteste pas, tout en limitant cette dernière à CHF 180'000.- aux termes de sa déclaration d'appel. Conformément à la jurisprudence, l'indemnisation doit être fixée en application des principes du nouveau droit de procédure, même si l'instruction préliminaire a été d'abord régie par le droit de procédure genevois puis, à partir de 2011, par le CPP. Enfin, le fait que ce soit C______ SA qui a pris à charge les frais de défense de l'intimé ne prive pas ce dernier du droit à l'indemnisation. Tout en relevant que, sans compter l'audience de première instance, les honoraires pour sa défense s'établissaient à CHF 4'533'906.40, A______ a demandé CHF 3'452'455.50 à titre d'honoraires et frais d'avocat, montant que le TP a admis à hauteur de CHF 1'000'000.- sans que l'intimé ne le conteste. A l'instar du TP, il convient de relever qu'une durée de 9'370 heures de travail pour l'ensemble de la défense de l'intimé apparaît très largement excessive. Cette circonstance est manifestement liée aux différents enjeux entourant la procédure, au- delà de la perte alléguée par F______, plus particulièrement d'une part le litige portant</w:t>
      </w:r>
    </w:p>
    <w:p>
      <w:r>
        <w:t>- 20/31 - P/4010/2009 sur les dizaines de millions investis dans D______ par la clientèle de T______ et, d'autre part, l'intérêt de C______ SA, qui a pris en charge les frais de défense, qu'aucune brèche ne soit ouverte contre elle ou le groupe K______ en relation avec les multiples actions judiciaires, notamment civiles, en cours ou pouvant s'ouvrir dans le monde à la suite de l'affaire E______. Ainsi, les moyens engagés par C______ SA pour la défense ont manifestement dépassé le seul enjeu financier de USD 101'000.- de la perte alléguée par F______ et son litige genevois avec C______ SA. Il reste à savoir s'ils ont été raisonnablement proportionnés aux faits de la présente cause. Il sied de relever que, sur les notes d'honoraires soumises, plus de 4'650 heures représentent des activités en regard desquelles la défense de A______ a caviardé en tout ou partie des noms ou la description de l'activité, ce qui s'explique, notamment, par les enjeux précités. Hors la disproportion précitée, on relèvera que, sur le relevé des activités, les actes caviardés dont la nécessité n'est pas établie représentent 53% du total des heures facturées. Le TP a relevé que le caviardage des notes d'honoraires soumises par A______ rendait impossible la détermination des actes nécessaires outre le fait que d'autres ne pouvaient être pris en compte. Il en a tiré la conclusion qu'il n'avait pas d'autre choix que de procéder à une réduction de la note sans mention des postes supprimés. Dans son mémoire réponse, l'intimé n'a, à juste titre, pas critiqué cette appréciation. Force est cependant de constater qu'au-delà de considérations générales sur la durée, la complexité, la densité de la procédure et la façon dont elle a été menée, le TP n'a pas indiqué quels critères précisément il prenait en compte pour arrêter à CHF 1'000'000.- l'indemnité accordée pour les frais de défense du prévenu. Contrairement à l'appréciation du TP, la CPAR considère que le recours à deux avocats n'était pas nécessaire en l'espèce. En effet, la question de la complexité des notions financières, de même que celle de la durée de la procédure ne justifient pas à elles seules le recours à une dualité de conseils. Certes, de l'inculpation jusqu'au jugement de première instance, six années et demie se sont écoulées. Mais justement, en considération de cette durée (et alors que les audiences, y compris les auditions de témoins, ont totalisé environ 160 heures en tout), le temps consacré annuellement aux audiences n'a pas été particulièrement élevé puisqu'il a mobilisé, outre les 15 minutes de durée de l'inculpation en 2009, 15 heures en 2010 et une cinquantaine d'heures en 2011, comprenant notamment des audiences le matin et l'après-midi sur sept jours. Cet impact limité s'est reproduit en 2012 (55 heures dont huit jours avec audience le matin et l'après-midi), en 2013 (une seule journée d'audience) alors que pour l'année 2014, les cinq audiences tenues ont totalisé environ 18 heures, dont quatre audiences intervenant le matin et l'après-midi du même jour. Enfin, en 2015, les audiences ont représenté quelque 13 heures en tout, jusqu'au terme de l'instruction préliminaire. Un seul et même avocat était donc à même de faire face à cette situation. La présence de deux avocats assistant A______ en audience était encore moins justifiée.</w:t>
      </w:r>
    </w:p>
    <w:p>
      <w:r>
        <w:t>- 21/31 - P/4010/2009 Par ailleurs, la procédure n'apparaît pas particulièrement complexe dès lors qu'il s'est essentiellement agi de préciser les circonstances de l'activité de C______ SA en regard des termes de l'inculpation. L'instruction générale ne porte que sur 12 classeurs. A cet égard, si de nombreux documents et pièces ont été évoqués en audience, leur examen n'a nécessité que des explications circonstanciées et factuelles sans complications particulières. Il n'a pas été nécessaire de recourir à Genève à une expertise pour éclairer les questions juridiques pouvant se poser. Il est vrai que deux expertises privées ont été versées à la procédure mais elles ont été établies dans le cadre d'une procédure étrangère, ce qui témoigne bien du caractère international de la problématique et d'appuis extérieurs dont la défense de A______ a pu bénéficier, ce qui n'a pu qu'avoir un impact sur l'activité de la défense. Si une certaine densité a pu être observée, elle a été en grande partie due aux courriers échangés par les parties. Certes, F______ a nourri la procédure en y versant régulièrement des documents mais l'intimé en a fait autant. En guise d'exemple, les remarques complémentaires formulées au mémorandum VII du 7 mars 2012, sous la forme d'un courrier de 13 pages, ont généré une importante partie de l'activité pour les mois de juillet et août 2012, laquelle s'est élevée à CHF 106'827.-, alors même que l'activité facturée pour le surplus s'est limitée à un complément d'information sur un projet de Commission rogatoire (cf. note d'honoraires du 3 septembre 2012). Par ailleurs, il n'était pas nécessaire, en regard de l'inculpation prononcée et des questions juridiques qui se posaient, de répondre régulièrement par des prises de position sur plusieurs pages. A titre d'exemple, un courrier sur quatre pages de F______ du 30 septembre 2013 entraîne une réponse sur huit pages pour laquelle plus de 40 heures sont facturées (cf note d'honoraires du 22 novembre 2013), durée manifestement disproportionnée. Tout autant excessive, l'activité du mois de mars 2013 facturée à CHF 67'844.-, soit l'équivalent de 121.70 heures, destinée seulement à la rédaction de trois courriers, dont le plus volumineux tenant sur cinq pages et récapitulant notamment l'état de l'instruction au procureur (cf. note d'honoraires du 11 avril 2014). Ce type de situation est intervenu très régulièrement, influençant manifestement la durée de temps consacrée au dossier. Quel que soit le mois, la moyenne mensuelle facturée a été de CHF 70'470.-, sans que l'évolution de la procédure ne puisse justifier l'importance de ces montants. Sous cet angle, il ne peut être admis que les activités de la défense sont restées dans un rapport raisonnable par rapport à la complexité et à l'importance de l'affaire. De surcroît, comme l'a relevé le premier juge, l'intervention de 44 avocats ou avocats- stagiaires dans le dossier a impliqué de nombreuses réunions internes pour l'information ou la formation des collaborateurs et stagiaires qui se sont succédés, générant autant d'actes qui n'étaient pas nécessaires. Il est également rappelé que d'éventuelles indemnités liées à des procédures de recours doivent être établies indépendamment de la procédure au fond et que, partant, l'activité de l'avocat pour de telles procédures n'est pas couverte par la demande d'indemnisation au sens de l'art. 429 CPP.</w:t>
      </w:r>
    </w:p>
    <w:p>
      <w:r>
        <w:t>- 22/31 - P/4010/2009 Compte tenu de ce qui précède, il apparaît qu'en regard du nombre limité des audiences, et même en prenant en compte la problématique de la préparation des deux commissions rogatoires, d'observations requises, du tri et du caviardage de pièces saisies et de la production de pièces à décharge, une activité d'avocat de l'ordre de 1'850 heures, correspondant globalement à une durée d'activité d'une année entière (sur la base d'une moyenne de 21.75 jours ouvrables de huit heures par mois (moins 20 jours de vacances et neuf jours fériés), était amplement à même de suffire à un exercice raisonnable des droits de la défense pour le cas d'espèce, y compris à la fois pour les activités précitées et pour assurer les préparations et la présence aux audiences qui annuellement n'ont représenté qu'un temps limité. Cette durée, laquelle inclut le travail délégué qui a été confié à des collaborateurs ou stagiaires, au tarif de CHF 400.- tel qu'admis par la défense, plus la TVA à 8%, représente CHF 801'792.-, somme qui sera allouée au titre de l'exercice raisonnable des droits de procédure. Conformément à la jurisprudence, aucun intérêt compensatoire ne sera accordé, ce que l'intimé ne conteste pas. L'appel du MP sera ainsi très partiellement admis sur ce point.</w:t>
      </w:r>
    </w:p>
    <w:p>
      <w:r>
        <w:rPr>
          <w:b/>
        </w:rPr>
        <w:t>E. 2</w:t>
      </w:r>
    </w:p>
    <w:p>
      <w:r>
        <w:t>2.1.1. Selon l'art. 429 al. 1 let. b CPP, le prévenu acquitté totalement ou en partie, ou qui bénéficie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4.1.1 non reproduit in ATF 142 IV 163 et les références). En revanche, les dépenses privées et les pertes de temps, par exemple pour l'étude du dossier, ne sont en règle générale pas indemnisées. Il n'est pas nécessaire que le préjudice économique du prévenu puisse être rapporté à un acte de procédure déterminé (ATF 142 IV 237 consid. 1.3.3). Même le dommage résultant de la perte d'une place de travail doit, en principe, être indemnisé (ATF 142 IV 237 consid. 1.3.4). Si l'autorité pénale examine d'office les prétentions du prévenu et peut l'enjoindre de les chiffrer et de les justifier, elle n'en est pas tenue pour autant d'instruire d'office l'ensemble des faits pertinents concernant les prétentions en indemnisation. C'est au contraire au prévenu qu'il appartient de prouver le bien-fondé de ses prétentions (arrêt du Tribunal fédéral 6B_814/2017 consid. 1.1.2). L'évaluation du dommage économique se fait en application des règles générales en matière de responsabilité civile (art. 41 ss CO). Le dommage se définit comme la diminution involontaire de la fortune nette ; il correspond à la différence entre le</w:t>
      </w:r>
    </w:p>
    <w:p>
      <w:r>
        <w:t>- 23/31 - P/4010/2009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142 IV 237 consid. 1.3.1 ; arrêts du Tribunal fédéral 6B_118/2016 du 20 mars 2017 consid. 5.1 ; 6B_928/2014 du 10 mars 2016 consid. 4.1.2 non reproduit in ATF 142 IV 163 et les références). Le droit à des dommages et intérêts suppose l'existence d'un lien de causalité adéquat entre le dommage subi et la procédure pénale (FF 2006 1057 p. 1313). Un fait constitue la cause adéquate d'un résultat s'il est propre, d'après le cours ordinaire des choses et l'expérience de la vie, à entraîner un résultat du genre de celui qui s'est produit (ATF 131 IV 145 consid. 5.1 p. 147).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références). Les autorités pénales ne répondent pas du comportement fautif d'autres autorités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p. 239). Il appartient au lésé de prouver non seulement l'existence et l'étendue du dommage, mais aussi le lien de causalité entre celui-ci et l'événement à la base de son action (arrêts du Tribunal fédéral 6B_118/2016 du 20 mars 2017 consid. 5.1 ; 6B_1026/2013 du 10 juin 2014 consid. 3.1).</w:t>
      </w:r>
    </w:p>
    <w:p>
      <w:r>
        <w:t>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142 IV 237 consid. 1.3.1 ; arrêt du Tribunal fédéral 6B_909/2015 du 22 juin 2016 consid. 1.1 = SJ 2017 I 205 ; arrêt du Tribunal fédéral 6B_928/2014 du 10 mars 2016 consid. 4.1.2 non reproduit in ATF 142 IV 163 et les références).</w:t>
      </w:r>
    </w:p>
    <w:p>
      <w:r>
        <w:t>Fait partie du dommage l'intérêt depuis le moment où l'événement dommageable s'est fait sentir financièrement (intérêt compensatoire ; Schadenzins). L'intérêt du dommage</w:t>
      </w:r>
    </w:p>
    <w:p>
      <w:r>
        <w:t>- 24/31 - P/4010/2009 court jusqu'au moment où l'indemnité est payée et a pour objectif de placer l'ayant droit dans la même situation que s'il avait été dédommagé le jour de l'acte illicite ou le jour où les conséquences économiques de cet acte se sont fait sentir (ATF 139 V 176 consid. 8.1.2 p. 188 ; 129 IV 149 consid. 4.1 p. 152). Cet intérêt s'élève en principe à 5 % (art. 73 al. 1 CO et par analogie art. 442 al. 2 CPP ; ATF 139 V 176 consid. 8.1.2 p. 188 ; 131 III 12 consid. 9.1 p. 22 et les références citées). Ainsi que le met en évidence la jurisprudence, les intérêts compensatoires ne sont que l'accessoire de la prétention principale et leur sort suit par conséquent celui de la prétention principale (arrêt du Tribunal fédéral 9F_13/2015 du 29 février 2016 consid. 9.1).</w:t>
      </w:r>
    </w:p>
    <w:p>
      <w:r>
        <w:rPr>
          <w:b/>
        </w:rPr>
        <w:t>E. 2.1</w:t>
      </w:r>
    </w:p>
    <w:p>
      <w:r>
        <w:t>; 6B_928/2014 du 10 mars 2016 consid. 5.1, non publié in ATF 142 IV 163).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et 6B_486/2015 du 25 mai 2016 consid. 4.1). 3.1.2. Le CPP ne règle pas la question de savoir si l'indemnité accordée en vertu de l'art. 429 CPP doit être assortie d'un intérêt compensatoire. La jurisprudence se réfère toutefois pour fixer l'indemnité fondée sur l'art. 429 al. 1 let. c CPP aux dispositions du CC (art. 28 al. 3 CC) et du CO (art. 49 CO), applicables pour fixer l'indemnité pour tort moral due entre particuliers (arrêt du Tribunal fédéral 6B_928/2014 du 10 mars 2016 consid. 5.1 non reproduit in ATF 142 IV 163). De plus, rien ne justifie qu'une personne soit moins bien traitée selon que son tort moral a été causé par un particulier ou par l'Etat, la jurisprudence exigeant pour ce dernier cas également que l'état répare la totalité du dommage qui présente un lien de causalité avec la procédure pénale. Il se justifie au vu de ces éléments d'allouer au prévenu acquitté qui en fait la demande en temps utile, en plus de l'indemnité prévue par l'art. 429 al. 1 let. c CPP, également un intérêt compensatoire à hauteur de 5% de cette indemnité à partir du jour où le préjudice a été causé à son titulaire (arrêt du Tribunal fédéral 6B_20/2016 du 20 décembre consid. 2.5.1.).</w:t>
      </w:r>
    </w:p>
    <w:p>
      <w:r>
        <w:t>- 27/31 - P/4010/2009 Lorsque les actes à l'origine du tort moral se répètent pendant une certaine durée, il y a lieu, en l'absence de circonstances particulières, de se fonder sur un moment situé au milieu du laps de temps considéré. Telle est la pratique de la Chambre pénale d'appel et de révision (cf. notamment AARP/5/2012 du 13 janvier 2012 et AARP/161/2011 du</w:t>
      </w:r>
    </w:p>
    <w:p>
      <w:r>
        <w:rPr>
          <w:b/>
        </w:rPr>
        <w:t>E. 2.2</w:t>
      </w:r>
    </w:p>
    <w:p>
      <w:r>
        <w:t>Initialement, l'intimé a chiffré sa perte de gain à plus de CHF 12'000'000.- (page 16 de sa requête en indemnisation du 9 décembre 2015), tout en concluant à la condamnation de l'Etat de Genève à lui payer la somme de CHF 3'000'000.-, avec intérêts, au titre de la perte d'emploi, subsidiairement une indemnité équitable au titre de dommage à la carrière, en application de l'art. 42 al. 2 CO. Au terme de la procédure d'appel, il conclut à la confirmation du jugement lui ayant alloué la somme de CHF 1'000'000.-.</w:t>
      </w:r>
    </w:p>
    <w:p>
      <w:r>
        <w:t>L'appelant relève l'absence de lien de causalité entre le caractère volontaire de la démission de A______ de son activité au sein de P______ SA et un dommage allégué des suites de ce départ. Or, au vu des pièces versées à la procédure, notamment la teneur des courriels échangés les 9 et 10 juillet 2009 entre un associé de chez P______ SA et l'intimé, il ne fait pas de doute que c'est bien la convocation de ce dernier en vue d'inculpation qui a été à l'origine de son départ de cette société. Cette appréciation est d'autant plus vraisemblable que cela ne faisait que quelques mois que A______ avait rejoint P______ SA avec cinq anciens collaborateurs de chez C______ SA, ce qui représentait certainement une équipe avec une certaine valeur ajoutée. En outre, selon les indications figurant au dossier, le volume des avoirs de clientèle sous gestion que A______ avait fait migrer chez P______ SA s'élevait à CHF 100'000'000.-. Un départ volontaire est ainsi peu vraisemblable.</w:t>
      </w:r>
    </w:p>
    <w:p>
      <w:r>
        <w:t>Il est ainsi établi que le départ de A______ de P______ SA est dû à la procédure pénale.</w:t>
      </w:r>
    </w:p>
    <w:p>
      <w:r>
        <w:t>Autre est la question de la détermination du dommage. En effet, à juste titre, ce qui n'est d'ailleurs pas contesté par l'intimé dans sa réponse à l'appel, le premier juge a retenu qu'aucune des années de 2007 à 2009 ne pouvait servir de point de référence pour le calcul d'un dommage. En effet, A______ a, en 2008, quitté volontairement son emploi chez C______ SA où il exerçait la fonction de CEO, société occupant environ 80 personnes avec des antennes dans plusieurs pays, pour une activité très diversifiée et une masse sous gestion de plus de USD 10'000'000'000.-. Dans ces conditions, ses revenus 2007 ne peuvent servir de base pour établir le dommage lié à l'ouverture de la procédure. L'on ne peut qu'être interpellé par l'évolution singulière et non linéaire des revenus de l'intimé entre 2007 et 2009, les différences étant très importantes d'une année à l'autre,</w:t>
      </w:r>
    </w:p>
    <w:p>
      <w:r>
        <w:t>- 25/31 - P/4010/2009 sans que cela ne soit expliqué ou documenté. De plus, il est étonnant que l'intimé fasse état d'un dommage de CHF 12'000'000.-, se limite à en réclamer CHF 3'000'000.- et, en finalité, acquiesce à l'octroi d'un montant de CHF 1'000'000.-, ce qui ne manque pas de surprendre quant à la réalité de la perte. Faute de documentation ad hoc, notamment concernant les conditions financières liées à son arrivée chez P______ SA en 2008 avec toute une équipe et l'apport d'avoirs sous gestion pour la somme susmentionnée, les données relatives aux revenus de l'année 2008 sont également opaques. Il en va de même de celles liées à son départ de P______ SA en juillet 2009, sachant qu'à tout le moins une bonne partie de l'équipe en provenance avec lui de C______ SA est restée en place. Ainsi, la composition des montants arrêtés par l'administration fiscale pour les années 2008 et 2009, notamment en regard d'un bonus payé, élément relevé par le premier juge et non contesté par l'intimé, est inconnue et il est grandement plausible qu'elle comprenne, indépendamment de l'activité de base convenue et de la rémunération correspondante envisagée, des montants ponctuels importants dont le versement n'a pu être influencé par l'ouverture de la procédure pénale. Ainsi, s'il apparaît certain au vu des taxations fiscales dès 2010 qu'une baisse des revenus de A______ est intervenue (par rapport à 2008 et 2009), il n'est pas déterminé dans quelle mesure elle est due à d'autres facteurs que celui de son départ forcé de chez P______ SA, outre les conséquences de la dégradation du marché. Il ne peut sans autre être admis, notamment au vu de la différence de revenu entre 2008 et 2009, ainsi que de l'importance de ces sommes, qu'une indemnité équitable puisse être fixée sans qu'elle ne ressorte d'une certaine façon au pur domaine de l'aléatoire, étant rappelé, en regard des montants en jeu, qu'une simple possibilité ne suffit pas pour allouer des dommages- intérêts, l'exception de l'art. 42 al. 2 CO devant être appliquée de manière restrictive. Or, l'on ne voit pas dans les circonstances de l'espèce, ce qui aurait empêché A______ de faire connaître par tous moyens de preuve utile ou témoignage, précisément la composition exacte des montants liés à ses revenus retenus au titre de sa taxation, de même que les éléments de sa rémunération chez P______ SA, ce dont il s'est abstenu. Ainsi, s'il est possible qu'une perte soit intervenue, l'insuffisance de la collaboration de l'intimé pourtant clairement questionné sur ce point, ne permet pas d'en fixer la quotité, même en application du principe ex aequo bono. Dans ces circonstances, l'appel du MP sera accueilli et le jugement annulé quant à l'indemnisation pour le dommage économique, dès lors que le degré de certitude nécessaire à l'octroi d'une indemnisation n'est pas atteint.</w:t>
      </w:r>
    </w:p>
    <w:p>
      <w:r>
        <w:rPr>
          <w:b/>
        </w:rPr>
        <w:t>E. 3</w:t>
      </w:r>
    </w:p>
    <w:p>
      <w:r>
        <w:t>3.1.1.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w:t>
      </w:r>
    </w:p>
    <w:p>
      <w:r>
        <w:t>- 26/31 - P/4010/2009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La gravité objective de l'atteinte doit être ressentie par le prévenu comme une souffrance morale. Il incombe à ce dernier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(arrêts du Tribunal fédéral 6B_740/2016 du 2 juin 2017 consid. 3.2 ; 6B_671/2016 du 17 mai 2017 consid.</w:t>
      </w:r>
    </w:p>
    <w:p>
      <w:r>
        <w:rPr>
          <w:b/>
        </w:rPr>
        <w:t>E. 3.2</w:t>
      </w:r>
    </w:p>
    <w:p>
      <w:r>
        <w:t>En l'espèce, il ne fait pas de doute que l'intimé a été personnellement et durablement atteint par la procédure ouverte contre lui. Celle-ci, d'une durée très conséquente, nécessitant une participation active de sa part, a atteint non seulement sa sphère professionnelle, en l'obligeant notamment à quitter un emploi, tout en ayant des répercussions sur son image de spécialiste des fonds alternatifs. Son nom a été durablement associé à l'escroc E______ par la presse qui a émis des hypothèses à même de nuire à sa réputation. En outre, il est documenté à la procédure que des tensions significatives sont apparues dans son milieu familial, au point que l'intimé et l'un de ses enfants ont été conduits à consulter chacun un médecin en lien avec les faits liés à la procédure. La souffrance particulière que A______ a pu éprouver du fait de ces circonstances ne fait pas de doute. Ces éléments conduisent la CPAR à rejeter l'appel du MP, je jugement étant dès lors confirmé dans la mesure où il octroie à l'intimé un montant de CHF 15'000.- à ce titre. 4. 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w:t>
      </w:r>
    </w:p>
    <w:p>
      <w:r>
        <w:rPr>
          <w:b/>
        </w:rPr>
        <w:t>E. 3.5</w:t>
      </w:r>
    </w:p>
    <w:p>
      <w:r>
        <w:t>heures. De nombreux contacts avec le client sont mentionnés, lesquels n'apparaissent pas particulièrement utiles et vont au-delà de ce qui paraît nécessaire à des compléments à apporter à l'écriture principale et la remise des quelques pièces figurant à la procédure, outre l'intervention des quatre avocats. Au vu de la teneur de la seule et importante écriture, il apparaît raisonnable d'admettre une durée globale de 40 heures pour l'ensemble des activités au tarif horaire admis par la Cour de céans de CHF 450.-, soit un montant de CHF 18'000.- lequel sera réduit d'un tiers compte tenu de la répartition des frais. C'est ainsi un montant de CHF 12'000.- plus TVA (7.7%), soit CHF 12'924.- qui sera alloué à A______ au titre de ses frais de défense pour la procédure d'appel.</w:t>
      </w:r>
    </w:p>
    <w:p>
      <w:r>
        <w:t>* * * * *</w:t>
      </w:r>
    </w:p>
    <w:p>
      <w:r>
        <w:t>- 29/31 - P/4010/2009</w:t>
      </w:r>
    </w:p>
    <w:p>
      <w:r>
        <w:rPr>
          <w:b/>
        </w:rPr>
        <w:t>E. 7</w:t>
      </w:r>
    </w:p>
    <w:p>
      <w:r>
        <w:t>novembre 2011 ; ACPR/72/2012 du 21 février 2012).</w:t>
      </w:r>
    </w:p>
    <w:p>
      <w:r>
        <w:rPr>
          <w:b/>
        </w:rPr>
        <w:t>E. 9</w:t>
      </w:r>
    </w:p>
    <w:p>
      <w:r>
        <w:t>février 2015 consid. 2.4.1 ; 6B_1046/2013 du 14 mai 2014 consid. 3.3 ; 6B_586/2013 du 1er mai 2014 consid. 3.2 ; 6B_438/2013 du 18 juillet 2013 consid. 2.4). 4.1.2. 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Si l'autorité de recours annule une décision conformément à l'art. 409 CPP, les parties ont droit à une juste indemnité pour les dépenses occasionnées par la procédure de recours et par la partie annulée de la procédure de première instance (al. 3).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w:t>
      </w:r>
    </w:p>
    <w:p>
      <w:r>
        <w:t>- 28/31 - P/4010/2009 (ATF 142 IV 163 consid. 3.2.2 p. 169 ; arrêts du Tribunal fédéral 6B_620/2016 du 17 mai 2017 consid. 2.2.3 ; 6B_118/2016 du 20 mars 2017 consid. 4.5.1).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t>4.2.1. Il reste à arrêter les frais pour la procédure d'appel en lien avec l'appel du MP. Ce dernier obtient très partiellement gain de cause sur la question de l'indemnisation pour les dépenses occasionnées par l'exercice raisonnable des droits de procédure de A______. En revanche, il obtient le plein de ses conclusions sur celle de l'indemnité octroyée pour le dommage économique et succombe quant à l'octroi du tort moral. Dans cette mesure, il se justifie de mettre à la charge de A______, qui succombe partiellement, le tiers desdits frais, qui comprennent un émolument de CHF 5'000.-, le solde restant à la charge de l'Etat. 4.2.2. L'intimé réclame une indemnisation de CHF 25'000.- pour ses frais de défense occasionné par l'appel du MP en faisant état des activités effectuées entre le 29 avril et le 20 mai 2019 de 61h40 d'un collaborateur au tarif horaire de CHF 450.-, de 8h24 d'une stagiaire au tarif horaire de CHF 220.-, de 10h d'un associé au tarif horaire de CHF 720.- ainsi que de 1h40 d'un autre associé au tarif horaire de CHF 780.-. Si ce n'est trois brefs courriers d'une demi-page, aucune autre écriture que le mémoire-réponse de 27 pages ne figure au dossier. A nouveau, un certain nombre d'activités caviardées figurent sur le décompte des activités pour des durées très limitées cumulées d'environ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