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AARP/368/2022 vom 24. November 2022</w:t>
      </w:r>
    </w:p>
    <w:p>
      <w:r>
        <w:t>GE Cour de justice, 2022-11-24, FR</w:t>
      </w:r>
    </w:p>
    <w:p>
      <w:r>
        <w:rPr>
          <w:b/>
        </w:rPr>
        <w:t xml:space="preserve">Quelle: </w:t>
      </w:r>
      <w:r>
        <w:t>https://mcp.opencaselaw.ch/entscheid/ge_gerichte_AARP_368_2022</w:t>
      </w:r>
    </w:p>
    <w:p>
      <w:r>
        <w:t>FR: GE_GERICHTE AARP/368/2022 du 24 novembre 2022</w:t>
      </w:r>
    </w:p>
    <w:p>
      <w:r>
        <w:t>IT: GE_GERICHTE AARP/368/2022 del 24 novembre 2022</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concerne tant le fardeau de la preuve que l'appréciation des preuves.</w:t>
      </w:r>
    </w:p>
    <w:p>
      <w:r>
        <w:t>- 12/26 - P/16278/2021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ATF 120 Ia 31 consid. 2c). On parle de témoin par ouï-dire (" vom Hörensagen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(arrêts du Tribunal fédéral 6B_324/2017 du 8 mars 2018 consid. 1.2.2; 6B_862/2015 précité consid. 4.2; 6B_834/2013 du 14 juillet 2014 consid. 1.5). Le témoin par ouï-dire n'est toutefois témoin direct que de la communication que lui a faite le tiers; il n'est témoin qu'indirect des faits décrits, dont il ne peut rapporter que ce qui lui en a été dit mais non si cela était vrai (arrêts du Tribunal fédéral 6B_862/2015 précité consid. 4.2; 6B_905/2010 du 16 juin 2011 consid. 2.3.2). La jurisprudence en a conclu qu'un tel témoin, faute d'avoir pu constater par lui-même un élément constitutif de l'infraction, ne constitue pas à proprement parler un " témoin à charge " (arrêts du Tribunal fédéral 6B_1403/2021 du 9 juin 2022 destiné à la publication consid. 2.4; 6B_862/2015 précité consid. 4.2; 6B_342/2015 du 15 octobre 2015 consid. 6.3).</w:t>
      </w:r>
    </w:p>
    <w:p>
      <w:r>
        <w:rPr>
          <w:b/>
        </w:rPr>
        <w:t>E. 3</w:t>
      </w:r>
    </w:p>
    <w:p>
      <w:r>
        <w:t>3.1.1.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plus récemment arrêt du Tribunal fédéral 6B_1283/2018 du 14 février 2019 consid. 2.1). 3.1.2. La distinction entre lésions corporelles et voies de fait peut s'avérer délicate, notamment lorsque l'atteinte s'est limitée à des meurtrissures, des écorchures, des</w:t>
      </w:r>
    </w:p>
    <w:p>
      <w:r>
        <w:t>- 13/26 - P/16278/2021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3.1.3. L'infraction est intentionnelle. Le dol éventuel est suffisant (Petit commentaire du Code pénal, N. 12 ad art. 123 CP et références citées). 3.1.4. 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w:t>
      </w:r>
    </w:p>
    <w:p>
      <w:r>
        <w:t>- 14/26 - P/16278/2021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w:t>
      </w:r>
    </w:p>
    <w:p>
      <w:r>
        <w:t>3.2.1. Fin 2018, l'appelant et la lésée ont débuté une relation amoureuse, rapidement devenue conflictuelle, qui a été émaillée par divers épisodes de violence domestique à compter de l'année 2019. La liaison des intéressés a à tout le moins perduré jusqu'au 2 septembre 2021 et n'était ainsi pas terminée depuis plusieurs mois à cette date, contrairement à ce qu'a soutenu l'appelant en dernier lieu après avoir affirmé le contraire en cours de procédure. En atteste également le fait qu'en date du 26 août 2021, la lésée a souscrit, à son propre nom, le raccordement téléphonique qu'utilisait l'appelant le jour de son arrestation, où il lui a par ailleurs demandé de le contacter alors qu'elle se trouvait à l'hôpital.</w:t>
      </w:r>
    </w:p>
    <w:p>
      <w:r>
        <w:t>A la police et devant le MP, la lésée a été constante quant au fait qu'elle avait été frappée à plusieurs reprises par l'appelant. Son attitude ambivalente à l'égard de ce dernier en cours de procédure est à l'image de celle qui a été la sienne du temps de</w:t>
      </w:r>
    </w:p>
    <w:p>
      <w:r>
        <w:t>- 15/26 - P/16278/2021 leur vie commune, comme l'ont rapporté divers intervenants de G______, et témoigne de sa fragilité psychologique, constatée par ces derniers, de même que de la crainte qu'elle nourrissait à l'égard de l'appelant. Cette ambivalence est toutefois impropre à décrédibiliser ses déclarations quant aux violences subies, lesquelles ont également été rapportées par divers témoins, de manière directe ou indirecte. La quasi-totalité des témoignages recueillis s'accorde en effet sur l'existence de violences domestiques au sein du couple. Selon les confidences faites au témoin U______ par une travailleuse du sexe, dont l'identité n'a pas été dévoilée, elle entendait tous les jours des bruits de coups provenant de l'appartement occupé par la lésée, au point de s'inquiéter pour sa vie.</w:t>
      </w:r>
    </w:p>
    <w:p>
      <w:r>
        <w:t>Il ressort par ailleurs du dossier qu'entre 2019 et septembre 2021, les intervenants de G______ étaient soucieux de la situation de la lésée, après avoir constaté qu'elle présentait des blessures et/ou recueilli ses confidences, photographies à l'appui, ainsi que celles de tiers dans le milieu de la prostitution, quant au fait qu'elle était frappée par un individu, dont elle a parfois indiqué expressément qu'il s'agissait de son compagnon, qu'elle a par ailleurs désigné physiquement au témoin R______.</w:t>
      </w:r>
    </w:p>
    <w:p>
      <w:r>
        <w:t>Au cours de cette période, la lésée ne s'est en revanche jamais plainte auprès de ces intervenants ou d'autres personnes d'avoir été victime de violences de la part de tiers, de ses clients ou de collègues en particulier. Aucun élément au dossier ne permet par ailleurs d'établir que tel a été ou aurait été le cas.</w:t>
      </w:r>
    </w:p>
    <w:p>
      <w:r>
        <w:t>Dans cette mesure, il y a lieu de retenir que l'appelant a effectivement brutalisé à plusieurs reprises la lésée durant leur relation.</w:t>
      </w:r>
    </w:p>
    <w:p>
      <w:r>
        <w:t>3.2.2. La culpabilité de l'appelant pour les faits visés aux paragraphes 1, 3 et 5 à 7 sous chiffre 1.1. est dûment établie.</w:t>
      </w:r>
    </w:p>
    <w:p>
      <w:r>
        <w:t>Le témoin S______ a en effet constaté directement, soit encore au travers des photographies, qu'entre 2019 et le 2 septembre 2021, la lésée a présenté diverses lésions sous forme, d'un ou deux yeux "au beurre noir" à plusieurs reprises et de marques de blessures non récentes. Elle était défigurée sur certains clichés, tandis que sur d'autres, elle avait des hématomes, la bouche enflée ou encore les yeux rouges de sang.</w:t>
      </w:r>
    </w:p>
    <w:p>
      <w:r>
        <w:t>Ce témoin a en outre confirmé que lors d'un entretien intervenu entre août et septembre 2019, la lésée avait "les yeux explosés" en raison d'une fracture du nez, ce que le témoin T______, qui a fait état d'une fracture impressionnante du nez antérieure à 2020, a confirmé. Cette dernière a aussi constaté à plusieurs reprises que la lésée présentait des marques sur le corps. Elle l'avait en outre vue à une reprise, en compagnie de son collègue U______, le visage couvert de blessures, dont en particulier d'un énorme hématome, ce que ce dernier a confirmé, ajoutant que la lésée avait un nez "bleu et gonflé" au début d'année 2021 et, au début de l'été de cette même année, qu'elle était défigurée, avait une grosse bosse sur le visage et le nez</w:t>
      </w:r>
    </w:p>
    <w:p>
      <w:r>
        <w:t>- 16/26 - P/16278/2021 complètement cassée, lésions qui sont compatibles avec les confidences recueillies par le témoin R______ le 21 ou 22 juin 2021.</w:t>
      </w:r>
    </w:p>
    <w:p>
      <w:r>
        <w:t>Les événements du 2 septembre 2021 sont établis, par les images de vidéosurveillance et les déclarations des protagonistes, dont il ressort que l'appelant a poussé de la main la lésée, qui a été projetée de l'autre côté du trottoir et a chuté dans l'espace réservé au stationnement des deux roues, geste manifestement à l'origine des blessures dont elle a souffert sous forme de trois plaies linéaires de l'arcade sourcilière gauche, ayant nécessité la pose de points de suture, ainsi que de multiples macules érythémateuses bleutées à l'avant-bras droit.</w:t>
      </w:r>
    </w:p>
    <w:p>
      <w:r>
        <w:t>Il s'ensuit que les faits décrits aux paragraphes 1, 3 et 5 à 7 sous chiffre 1.1. de l'acte d'accusation et les lésions y relatives, peuvent être imputés à l'appelant.</w:t>
      </w:r>
    </w:p>
    <w:p>
      <w:r>
        <w:t>Les blessures de la lésée sont constitutives de lésions corporelles simples d'un point de vue juridique, vu leur ampleur et leur gravité.</w:t>
      </w:r>
    </w:p>
    <w:p>
      <w:r>
        <w:t>L'appelant a agi intentionnellement, dès lors qu'il savait pertinemment qu'en frappant la lésée, en particulier au visage, et en la faisant chuter au sol, il était susceptible de lui occasionner des blessures du type de celles qui ont été constatées.</w:t>
      </w:r>
    </w:p>
    <w:p>
      <w:r>
        <w:t>3.2.3. L'appelant invoque avoir agi en état de légitime défense lors des événements du 2 septembre 2021, argument qui ne résiste pas à la critique.</w:t>
      </w:r>
    </w:p>
    <w:p>
      <w:r>
        <w:t>En effet, les deux protagonistes s'accordent à dire que le jour en question, une dispute, dont ils étaient coutumiers, a surgi entre eux, en raison de la jalousie de la lésée et alors qu'ils étaient tous deux alcoolisés.</w:t>
      </w:r>
    </w:p>
    <w:p>
      <w:r>
        <w:t>Tout au long de la procédure, l'appelant a affirmé avoir poussé la lésée afin de s'en défaire, parce qu'il souhaitait qu'elle le laisse tranquille, et non en raison du fait qu'elle s'apprêtait à l'attaquer, ou l'avait concrètement fait.</w:t>
      </w:r>
    </w:p>
    <w:p>
      <w:r>
        <w:t>Contrairement à ce qui a été rapporté par le témoin O______, la lésée avait les mains vides, à l'exception d'un téléphone portable, lorsque l'appelant l'a poussée d'un geste de la main, et non du pied, et a ainsi occasionné sa chute sur la chaussée, dans l'espace réservé au stationnement des deux roues, et les lésions en résultant.</w:t>
      </w:r>
    </w:p>
    <w:p>
      <w:r>
        <w:t>Ainsi, vu la dispute en cours entre les protagonistes et en l'absence d'attaque imminente ou en cours de la lésée, l'appelant ne saurait prétendre avoir agi en état de légitime défense.</w:t>
      </w:r>
    </w:p>
    <w:p>
      <w:r>
        <w:t>3.2.4. L'épisode décrit dans l'acte d'accusation au cours desquels la lésée aurait reçu des coups sur les côtes (paragraphe 4), de même que celui relatif aux brûlures de cigarette au niveau du haut de la poitrine (paragraphe 2), contestés par l'appelant, reposent sur les seules déclarations de l'intéressée. Aucun témoin n'a rapporté avoir recueilli de confidences de la lésée dans ce sens et les lésions qu'elle a décrites sur le</w:t>
      </w:r>
    </w:p>
    <w:p>
      <w:r>
        <w:t>- 17/26 - P/16278/2021 haut de la poitrine et ainsi que les douleurs aux côtes, n'ont pas davantage été constatées visuellement, ni attestées médicalement. Seules une brûlure à la main et des marques épithéliales au niveau du décolleté, non liées à une agression physique selon les dires de la lésée, ont été vues par le témoin Q______, à laquelle cette dernière a pourtant confié avoir été frappée par l'appelant.</w:t>
      </w:r>
    </w:p>
    <w:p>
      <w:r>
        <w:t>En l'absence d'éléments probants au dossier autre que les déclarations, même si elles sont crédibles, de la lésée, il existe un doute, qui doit profiter à l'appelant.</w:t>
      </w:r>
    </w:p>
    <w:p>
      <w:r>
        <w:t>C'est ainsi à juste titre que le premier juge, dont le jugement sera confirmé sur ce point, a acquitté l'appelant pour les faits visés aux paragraphes 2 et 4 sous chiffre 1.1. de l'acte d'accusation.</w:t>
      </w:r>
    </w:p>
    <w:p>
      <w:r>
        <w:t>3.2.5. L'appelant sera ainsi reconnu coupable de lésions corporelles simples qualifiées au sens de l'art. 123 ch. 1 et ch. 2 al. 6 CP pour les faits visés aux paragraphes 1, 3 et 5 à 7 sous chiffre 1.1. de l'acte d'accusation, son acquittement pour ceux visés aux paragraphes 2 et 4 étant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4.1.2.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w:t>
      </w:r>
    </w:p>
    <w:p>
      <w:r>
        <w:t>- 18/26 - P/16278/2021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Dans le cadre de l'art. 47 CP, le juge peut prendre en compte à titre d'antécédents des actes punissables qui n'ont pas (encore) été punis, pour autant que les faits soient établis (cf. arrêts du Tribunal fédéral 6B_1457/2020 du 15 avril 2021 consid. 1.4).</w:t>
      </w:r>
    </w:p>
    <w:p>
      <w:r>
        <w:t>4.1.3.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w:t>
      </w:r>
    </w:p>
    <w:p>
      <w:r>
        <w:t>- 19/26 - P/16278/2021</w:t>
      </w:r>
    </w:p>
    <w:p>
      <w:r>
        <w:t>4.1.4.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4.2.1. La faute de l'appelant est importante. Il s'en est pris à de multiples reprises à l'intégrité corporelle de sa compagne pendant plus de deux ans, lui infligeant de la sorte de nombreuses blessures d'une gravité certaine. Il a persisté à séjourner illégalement en Suisse, et plus particulièrement à Genève, malgré le fait qu'il se savait démuni de papiers d'identité ainsi que d'autorisation de séjour et en dépit de l'interdiction de pénétrer sur le territoire genevois prononcée à son encontre le 23 août 2021. Il s'est en outre adonné au trafic de stupéfiants. Les mobiles de l'appelant sont égoïstes. Il a laissé libre cours à son agressivité, est demeuré en Suisse par convenance personnelle et s'est livré au trafic de stupéfiants par appât d'un gain facile. Si la situation personnelle de l'appelant était pour partie précaire au moment des faits, vu son statut administratif irrégulier en Suisse, elle ne saurait justifier son comportement, encore moins à l'égard de la lésée, qui l'hébergeait et le soutenait financièrement. La collaboration de l'appelant a été médiocre. Il a persisté à contester les faits les plus graves, sous réserve des événements du 2 septembre 2021, qu'il pouvait difficilement nier au vu du dossier, pour lesquels il a finalement invoqué avoir agi en état de légitime défense.</w:t>
      </w:r>
    </w:p>
    <w:p>
      <w:r>
        <w:t>- 20/26 - P/16278/2021 Il n'a manifestement pas pris conscience de la gravité de ses agissements, en particulier à l'égard de la lésée, qu'il n'a eu de cesse d'accabler et de rendre responsable de son comportement. Il ne lui a pas présenté d'excuse et, d'une manière générale, n'a manifesté aucun repentir ni volonté de s'amender. Les antécédents de l'appelant sont mauvais et spécifiques en matière de LEI et de LStup, ce qui ne l'a toutefois pas dissuadé de récidiver. 4.2.2. Pour des motifs de prévention générale et spéciale, seule une peine privative de liberté est susceptible d'entrer en considération pour sanctionner les infractions commises par l'appelant. Il y a concours d'infractions, ce qui justifie une augmentation de la peine dans une juste proportion. L'infraction de lésions corporelles simples est abstraitement la plus grave, ce qui doit conduire à prononcer, en tenant compte des éléments à charge et à décharge, une peine de base de six mois, les différents épisodes de violence devant être traités comme un tout, eu égard à leur récurrence au sein du couple. Par le jeu du concours, il convient ensuite de l'aggraver d'un mois et demi supplémentaire pour l'infraction à l'art. 19 al. 1 let. c LStup (peine théorique : deux mois et demi), d'un mois supplémentaire pour l'infraction à l'art. 115 al. 1 let. b LEI (peine théorique : deux mois) et de 15 jours supplémentaires pour l'infraction à l'art, 119 al. 1 LEI (peine théorique : un mois). La peine privative de liberté sera ainsi fixée à neuf mois, sous déduction de la détention avant jugement, et le jugement entrepris réformé dans ce sens. 4.2.3. Au vu de l'absence de prise de conscience de l'appelant de la gravité de ses agissements, de ses antécédents, dont certains spécifiques, du manque de changement notable dans sa situation personnelle et de perspective concrète dans ce sens, dès lors que ses projets de mariage avec W______ ne sont nullement documentés et qu'aucun élément au dossier ne permet de retenir que sa situation administrative pourrait être régularisée à court terme, seul un pronostic défavorable peut être posé quant à son comportement futur. L'appelant ne saurait prétendre au bénéfice du sursis. Le jugement entrepris sera réformé en ce sens que c'est une peine ferme qui sera infligée à l'appelant. 4.2.4. Le sursis octroyé le 30 mars 2017 ne sera pas révoqué, cette mesure n'apparaissant pas nécessaire pour dissuader l'appelant de récidiver vu la peine ferme prononcée (art. 46 al. 2 CP).</w:t>
      </w:r>
    </w:p>
    <w:p>
      <w:r>
        <w:rPr>
          <w:b/>
        </w:rPr>
        <w:t>E. 5.1</w:t>
      </w:r>
    </w:p>
    <w:p>
      <w:r>
        <w:t>Conformément à l'art. 66abis CP, le juge peut expulser un étranger du territoire suisse pour une durée de trois à quinze ans si, pour un crime ou un délit non visé à</w:t>
      </w:r>
    </w:p>
    <w:p>
      <w:r>
        <w:t>- 21/26 - P/16278/2021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w:t>
      </w:r>
    </w:p>
    <w:p>
      <w:r>
        <w:rPr>
          <w:b/>
        </w:rPr>
        <w:t>E. 10</w:t>
      </w:r>
    </w:p>
    <w:p>
      <w:r>
        <w:t>L'appelant, qui succombe en grande partie, supportera 90 % des frais de la procédure envers l'État, dont le solde de 10 % sera laissé à la charge de ce dernier (art. 428 CPP).</w:t>
      </w:r>
    </w:p>
    <w:p>
      <w:r>
        <w:rPr>
          <w:b/>
        </w:rPr>
        <w:t>E. 11.1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11.2</w:t>
      </w:r>
    </w:p>
    <w:p>
      <w:r>
        <w:t>Me B______, défenseure d'office de A______ n'a pas déposé d'état de frais, bien qu'ayant été dûment invitée à le faire.</w:t>
      </w:r>
    </w:p>
    <w:p>
      <w:r>
        <w:t>Son activité sera ainsi indemnisée en équité et la rémunération sera arrêtée à CHF 1'163.20 correspondant à quatre heures et 30 minutes d'activité au tarif de CHF 200.-/heure pour la rédaction du mémoire d'appel et du mémoire de réponse, plus la majoration forfaitaire de 20 %, et l'équivalent de la TVA au taux de 7.7% en CHF 83.20. * * * * *</w:t>
      </w:r>
    </w:p>
    <w:p>
      <w:r>
        <w:t>- 24/26 - P/16278/2021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