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AARP/368/2018 vom 1. November 2018</w:t>
      </w:r>
    </w:p>
    <w:p>
      <w:r>
        <w:t>GE Cour de justice, 2018-11-01, FR</w:t>
      </w:r>
    </w:p>
    <w:p>
      <w:r>
        <w:rPr>
          <w:b/>
        </w:rPr>
        <w:t xml:space="preserve">Quelle: </w:t>
      </w:r>
      <w:r>
        <w:t>https://mcp.opencaselaw.ch/entscheid/ge_gerichte_AARP_368_2018</w:t>
      </w:r>
    </w:p>
    <w:p>
      <w:r>
        <w:t>FR: GE_GERICHTE AARP/368/2018 du 1 novembre 2018</w:t>
      </w:r>
    </w:p>
    <w:p>
      <w:r>
        <w:t>IT: GE_GERICHTE AARP/368/2018 del 1 novembre 2018</w:t>
      </w:r>
    </w:p>
    <w:p>
      <w:pPr>
        <w:pStyle w:val="Heading2"/>
      </w:pPr>
      <w:r>
        <w:t>Erwägungen</w:t>
      </w:r>
    </w:p>
    <w:p>
      <w:r>
        <w:rPr>
          <w:b/>
        </w:rPr>
        <w:t>E. 1</w:t>
      </w:r>
    </w:p>
    <w:p>
      <w:r>
        <w:t>Le principe juridique de l'autorité d'un arrêt de renvoi du Tribunal fédéral, précédemment expressément consacré par les art. 66 al. 1 de l'ancienne loi fédérale d'organisation judiciaire du 16 décembre 1943 (aOJ) et 277ter al. 2 de l'ancienne loi fédérale sur la procédure pénale du 15 juin 1934 (aPPF), demeure applicable sous la loi fédérale sur le Tribunal fédéral du 17 juin 2005 (LTF - RS 173.110 ; ATF 135 III 334 consid. 2.1 ; arrêt du Tribunal fédéral 6B_1276/2015 du 29 juin 2016 consid. 1.2.1).</w:t>
      </w:r>
    </w:p>
    <w:p>
      <w:r>
        <w:t>Aussi, un arrêt de renvoi lie l'autorité cantonale à laquelle la cause est renvoyée, laquelle voit sa cognition limitée par les motifs de l'arrêt de renvoi, en ce sens qu'elle est liée par ce qui a déjà été définitivement tranché par le Tribunal fédéral (ATF 104 IV 276 consid. 3b ; ATF 103 IV 73 consid. 1)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ce dernier. Le nouvel 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p. 94 ; arrêts du Tribunal fédéral 6B_588/2012 du 11 février 2013 consid. 3.1 et 6B_534/2011 du 5 janvier 2012 consid. 1.2).</w:t>
      </w:r>
    </w:p>
    <w:p>
      <w:r>
        <w:t>- 4/10 - P/9802/2017</w:t>
      </w:r>
    </w:p>
    <w:p>
      <w:r>
        <w:t>Ce principe connaît toutefois une exception pour des points qui n'ont pas été attaqués ou ne l'ont pas été valablement, mais qui sont intimement liés à ceux sur lesquels le recours a été admis. Ainsi, dans la fixation de la peine, l'autorité cantonale, à laquelle le Tribunal fédéral a renvoyé la cause pour qu'il soit statué à nouveau, est libre d'apprécier autrement que dans le premier jugement si une circonstance atténuante peut être retenue. En effet, elle doit infliger la peine qui, au vu de l'ensemble des circonstances, lui paraît appropriée (ATF 113 IV 47 et arrêt du Tribunal fédéral 6B_1276/2015 du 29 juin 2016 consid. 1.2.1).</w:t>
      </w:r>
    </w:p>
    <w:p>
      <w:r>
        <w:rPr>
          <w:b/>
        </w:rPr>
        <w:t>E. 2</w:t>
      </w:r>
    </w:p>
    <w:p>
      <w:r>
        <w:t>En l'espèce, le Tribunal fédéral a retenu que l'intimé avait commis une violation grave des règles de la circulation au sens de l'art. 90 al. 2 LCR.</w:t>
      </w:r>
    </w:p>
    <w:p>
      <w:r>
        <w:t>L'appel doit par conséquent être admis, le jugement de première instance annulé et l'appelant reconnu coupable de violation grave des règles de la circulation.</w:t>
      </w:r>
    </w:p>
    <w:p>
      <w:r>
        <w:rPr>
          <w:b/>
        </w:rPr>
        <w:t>E. 3.1</w:t>
      </w:r>
    </w:p>
    <w:p>
      <w:r>
        <w:t>Cette infraction est sanctionnée d'une peine privative de liberté de trois ans au plus ou d'une peine pécuniaire.</w:t>
      </w:r>
    </w:p>
    <w:p>
      <w:r>
        <w:t>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w:t>
      </w:r>
    </w:p>
    <w:p>
      <w:r>
        <w:t>- 5/10 - P/9802/2017</w:t>
      </w:r>
    </w:p>
    <w:p>
      <w:r>
        <w:t>pouvoir d'appréciation (ATF 136 IV 55 consid. 5.6 ; arrêt du Tribunal fédéral 6B_1249/2014 du 7 septembre 2016 consid. 1.2).</w:t>
      </w:r>
    </w:p>
    <w:p>
      <w:r>
        <w:t>3.2.2. Le nouveau droit des sanctions en vigueur depuis le 1er janvier 2018 n’étant pas plus favorable à l’appelant en relation avec la peine pécuniaire contestée, il n’en sera pas fait application (art. 2 al. 2 CP "a contrario").</w:t>
      </w:r>
    </w:p>
    <w:p>
      <w:r>
        <w:t>Conformément à l'art. 34 al. 1 aCP, la peine pécuniaire est fixée en jours-amende, 360 au maximum, dont le tribunal fixe le nombre en fonction de la culpabilité de l'auteur.</w:t>
      </w:r>
    </w:p>
    <w:p>
      <w:r>
        <w:t>Selon l’art. 34 al. 2 aCP,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w:t>
      </w:r>
    </w:p>
    <w:p>
      <w:r>
        <w:t>Le montant du jour-amende doit être fixé en partant du revenu que l'auteur réalise en moyenne quotidiennement, quelle qu'en soit la source, car c'est la capacité économique réelle de fournir une prestation qui est déterminante (ATF 142 IV 315 consid. 5.3.1). Toutefois, si l'auteur réalise des revenus inférieurs à ceux qu'il atteindrait s'il faisait les efforts que l'on peut raisonnablement exiger de lui, le juge doit alors se fonder sur le revenu potentiel de l'auteur. A cet égard, le mode de vie choisi par ce dernier doit être pris en considération. Cette hypothèse doit être distinguée de celle où l'intéressé ne fournit pas d'informations ou fournit des explications non crédibles s'agissant de ses revenus et que celles fournies par les autorités ne sont pas concluantes. Dans cette dernière configuration, il convient d'imputer à l'auteur un revenu hypothétique estimé à partir de son train de vie (ATF 134 IV 60 consid. 6.1 ; arrêt du Tribunal fédéral 6B_530/2017 du 9 février 2018 consid. 2.2).</w:t>
      </w:r>
    </w:p>
    <w:p>
      <w:r>
        <w:t>3.2.3.1. Aux termes de l'art. 42 al. 1 CP, le juge suspend en règle générale l'exécution d'une peine privative de liberté de six mois au moins et de deux ans au plus lorsqu'une peine ferme ne paraît pas nécessaire pour détourner l'auteur d'autres crimes ou délits.</w:t>
      </w:r>
    </w:p>
    <w:p>
      <w:r>
        <w:t>Sur le plan objectif, les peine pécuniaire, travail d'intérêt général et peine privative de liberté de six mois au moins et de deux ans au plus, peuvent être assorties du sursis total (cf. art. 42 al. 1 CP).</w:t>
      </w:r>
    </w:p>
    <w:p>
      <w:r>
        <w:t>Sur le plan subjectif, le juge doit poser, pour l'octroi du sursis – ou du sursis partiel –, un pronostic quant au comportement futur de l'auteur. En l'absence de pronostic défavorable, il doit prononcer le sursis. Celui-ci est ainsi la règle dont le juge ne</w:t>
      </w:r>
    </w:p>
    <w:p>
      <w:r>
        <w:t>- 6/10 - P/9802/2017</w:t>
      </w:r>
    </w:p>
    <w:p>
      <w:r>
        <w:t>peut s'écarter qu'en présence d'un pronostic défavorable ou hautement incertain (ATF 135 IV 180 consid. 2.1 ; ATF 134 IV 1 consid. 4.2.2 p. 5).</w:t>
      </w:r>
    </w:p>
    <w:p>
      <w:r>
        <w:t>3.2.3.2.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w:t>
      </w:r>
    </w:p>
    <w:p>
      <w:r>
        <w:t>3.2.4.1. Le juge peut prononcer, en plus du sursis (art. 42 al. 1 aCP), une peine pécuniaire sans sursis ou une amende selon l'art. 106 CP (art. 42 al. 4 aCP). À l'instar de toute autre peine, l'amende doit être fixée conformément à l'art. 47 CP (arrêts du Tribunal fédéral 6B_337/2015 du 5 juin 2015 consid. 4.1 ; 6B_988/2010 du 3 mars 2011 consid. 2.1 et 6B_264/2007 du 19 septembre 2007 consid. 4.5).</w:t>
      </w:r>
    </w:p>
    <w:p>
      <w:r>
        <w:t>Le juge fixe le montant de l'amende et la quotité de la peine privative de liberté de substitution en tenant compte de la situation de l'auteur, afin que la peine corresponde à la faute commise (art. 106 al. 3 CPP).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 arrêt du Tribunal fédéral 6B_61/2010 du 27 juillet 2010 consid. 5.2). Pour tenir compte du caractère accessoire des peines cumulées, il se justifie en principe d'en fixer la limite supérieure à un cinquième, respectivement à 20%, de la peine principale (ATF 135 IV 188 consid. 3.4.4).</w:t>
      </w:r>
    </w:p>
    <w:p>
      <w:r>
        <w:t>3.2.4.2. Un jour de peine privative de liberté de substitution (art. 106 al. 2 CP) correspond schématiquement à CHF 100.- d'amende (R. ROTH / L. MOREILLON, Code pénal I : art. 1-100 CP, Bâle 2009, n. 19 ad art. 106), taux de conversion généralement appliqué et admis par la jurisprudence. Le juge doit toutefois pouvoir s'écarter de cette solution, surtout lorsqu'il tient compte dans la fixation du montant de l'amende de la situation financière de la personne condamnée, comme l'exige le texte légal, alors que la fortune de l'auteur ne devrait pas avoir d'influence dans la fixation de la peine privative de liberté de substitution. Si le juge doit ainsi adapter le montant de l'amende à la faute commise mais aussi aux ressources du condamné, afin de frapper de manière comparable les fortunés et les démunis, il doit pouvoir en faire abstraction dans la fixation de la peine privative de liberté de substitution (cf. dans ce sens M. NIGGLI / H. WIPRÄCHTIGER, Basler Kommentar Strafrecht I : Art. 1-110 StGB, Jugendstrafgesetz, 2e éd., Bâle 2007, n. 9-10, ad art. 106).</w:t>
      </w:r>
    </w:p>
    <w:p>
      <w:r>
        <w:t>- 7/10 - P/9802/2017</w:t>
      </w:r>
    </w:p>
    <w:p>
      <w:r>
        <w:rPr>
          <w:b/>
        </w:rPr>
        <w:t>E. 3.3</w:t>
      </w:r>
    </w:p>
    <w:p>
      <w:r>
        <w:t>En l'occurrence, la faute de l'intimé est importante. Il a gravement violé les règles fondamentales de la circulation routière relatives à la vitesse, qui plus est sur un tronçon où il y avait des travaux, mettant ainsi en danger les ouvriers qui auraient pu s'y trouver.</w:t>
      </w:r>
    </w:p>
    <w:p>
      <w:r>
        <w:t>La collaboration de l'intimé à la procédure doit être qualifiée de bonne, dès lors qu'il a immédiatement reconnu les faits. Il semble également avoir pris conscience de la gravité de ses actes, dès lors qu'il a indiqué, lors de l'audience d'appel, avoir changé de véhicule, au profit d'un modèle moins puissant, et manifesté des regrets sincères tout au long de la procédure.</w:t>
      </w:r>
    </w:p>
    <w:p>
      <w:r>
        <w:t>Sa situation personnelle est bonne. Il n'a aucun antécédent judiciaire, élément toutefois neutre s'agissant de la fixation de la peine.</w:t>
      </w:r>
    </w:p>
    <w:p>
      <w:r>
        <w:t>Au vu de ce qui précède, une peine pécuniaire de 120 jours-amende à CHF 260.- l'unité représente une sanction adéquate, qui tient également compte de la situation financière de l'intimé.</w:t>
      </w:r>
    </w:p>
    <w:p>
      <w:r>
        <w:t>Le sursis, dont les conditions sont réalisées en l'espèce, doit être accordé à l'intimé.</w:t>
      </w:r>
    </w:p>
    <w:p>
      <w:r>
        <w:t>Un délai d'épreuve de trois ans est suffisamment long pour le dissuader de la commission de nouvelles infractions.</w:t>
      </w:r>
    </w:p>
    <w:p>
      <w:r>
        <w:t>Enfin, au vu de la peine infligée et du sursis octroyé, il se justifie de condamner également l'intimé à une amende à titre de sanction immédiate, dans un but de prévention spéciale. A cet égard, un montant de CHF 6'200.-, lequel n'excède pas 20% de la peine principale, est approprié à la faute commise, de même qu'une peine privative de liberté de substitution de 62 jours.</w:t>
      </w:r>
    </w:p>
    <w:p>
      <w:r>
        <w:rPr>
          <w:b/>
        </w:rPr>
        <w:t>E. 4</w:t>
      </w:r>
    </w:p>
    <w:p>
      <w:r>
        <w:t>Le Ministère public obtenant gain de cause, l'intimé sera condamné à l'ensemble des frais de la procédure jusqu'au prononcé de l'arrêt du 4 juin 2018 (art. 426 al. 1 et 428 al. 1 CPP), ceux d'appel comprenant dans leur totalité un émolument de CHF 1'000.-.</w:t>
      </w:r>
    </w:p>
    <w:p>
      <w:r>
        <w:t>Les frais de la procédure postérieure à l'arrêt du Tribunal fédéral du 20 septembre 2018 seront laissés à la charge de l'Etat (arrêt non publié 6B_1367/2017 consid 2.2. in fine du 13 avril 2018).</w:t>
      </w:r>
    </w:p>
    <w:p>
      <w:r>
        <w:rPr>
          <w:b/>
        </w:rPr>
        <w:t>E. 5</w:t>
      </w:r>
    </w:p>
    <w:p>
      <w:r>
        <w:t>Par souci de clarté, le dispositif sera entièrement reformulé. * * * * *</w:t>
      </w:r>
    </w:p>
    <w:p>
      <w:r>
        <w:t>- 8/10 - P/9802/2017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